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16"/>
      </w:tblGrid>
      <w:tr w:rsidR="00232A1E" w:rsidRPr="009B637A" w14:paraId="4EB8ECBE" w14:textId="77777777" w:rsidTr="00B74DB2">
        <w:trPr>
          <w:gridBefore w:val="1"/>
          <w:wBefore w:w="426" w:type="dxa"/>
        </w:trPr>
        <w:tc>
          <w:tcPr>
            <w:tcW w:w="9016" w:type="dxa"/>
            <w:shd w:val="clear" w:color="auto" w:fill="0A3B45"/>
          </w:tcPr>
          <w:p w14:paraId="70709202" w14:textId="77777777" w:rsidR="00232A1E" w:rsidRPr="00232A1E" w:rsidRDefault="00232A1E" w:rsidP="00232A1E">
            <w:pPr>
              <w:jc w:val="center"/>
              <w:rPr>
                <w:rFonts w:ascii="Verdana" w:hAnsi="Verdana"/>
                <w:b/>
                <w:color w:val="FBDB9E"/>
                <w:sz w:val="20"/>
                <w:szCs w:val="20"/>
              </w:rPr>
            </w:pPr>
          </w:p>
          <w:p w14:paraId="0A86E8BB" w14:textId="73850E74" w:rsidR="00232A1E" w:rsidRPr="00D632A3" w:rsidRDefault="00B74DB2" w:rsidP="00D632A3">
            <w:pPr>
              <w:rPr>
                <w:rFonts w:ascii="Verdana" w:hAnsi="Verdana"/>
                <w:b/>
                <w:color w:val="FBDB9E"/>
                <w:sz w:val="20"/>
                <w:szCs w:val="20"/>
              </w:rPr>
            </w:pPr>
            <w:r>
              <w:rPr>
                <w:rFonts w:ascii="Verdana" w:hAnsi="Verdana"/>
                <w:b/>
                <w:color w:val="FBDB9E"/>
                <w:sz w:val="20"/>
                <w:szCs w:val="20"/>
              </w:rPr>
              <w:t>The Building Safety Act in overview</w:t>
            </w:r>
          </w:p>
          <w:p w14:paraId="3617EBAC" w14:textId="440B8F57" w:rsidR="00D632A3" w:rsidRPr="009B637A" w:rsidRDefault="00D632A3" w:rsidP="00D632A3">
            <w:pPr>
              <w:rPr>
                <w:rFonts w:ascii="Verdana" w:hAnsi="Verdana"/>
                <w:b/>
                <w:bCs/>
                <w:sz w:val="20"/>
                <w:szCs w:val="20"/>
              </w:rPr>
            </w:pPr>
          </w:p>
        </w:tc>
      </w:tr>
      <w:tr w:rsidR="00B74DB2" w:rsidRPr="009B637A" w14:paraId="147A8F0B" w14:textId="77777777" w:rsidTr="00B74DB2">
        <w:tc>
          <w:tcPr>
            <w:tcW w:w="9442" w:type="dxa"/>
            <w:gridSpan w:val="2"/>
            <w:shd w:val="clear" w:color="auto" w:fill="auto"/>
          </w:tcPr>
          <w:p w14:paraId="7593CCA5" w14:textId="77777777" w:rsidR="00B74DB2" w:rsidRPr="00B74DB2" w:rsidRDefault="00B74DB2" w:rsidP="00B74DB2">
            <w:pPr>
              <w:ind w:left="360"/>
              <w:rPr>
                <w:rFonts w:ascii="Verdana" w:hAnsi="Verdana"/>
                <w:b/>
                <w:bCs/>
                <w:sz w:val="20"/>
                <w:szCs w:val="20"/>
              </w:rPr>
            </w:pPr>
          </w:p>
          <w:p w14:paraId="3BF70628" w14:textId="77777777" w:rsidR="00B74DB2" w:rsidRPr="00B74DB2" w:rsidRDefault="00B74DB2" w:rsidP="00B74DB2">
            <w:pPr>
              <w:pStyle w:val="paragraph"/>
              <w:spacing w:before="0" w:beforeAutospacing="0" w:after="0" w:afterAutospacing="0"/>
              <w:ind w:left="360"/>
              <w:textAlignment w:val="baseline"/>
              <w:rPr>
                <w:rStyle w:val="normaltextrun"/>
                <w:rFonts w:ascii="Verdana" w:hAnsi="Verdana"/>
                <w:sz w:val="20"/>
                <w:szCs w:val="20"/>
              </w:rPr>
            </w:pPr>
          </w:p>
          <w:p w14:paraId="421ED253" w14:textId="28909EC6"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New regime overseen and enforced by a new building safety regulator (a division of the health and safety executive is the Building Safety Regulator: </w:t>
            </w:r>
            <w:hyperlink r:id="rId10" w:tgtFrame="_blank" w:history="1">
              <w:r w:rsidRPr="00B74DB2">
                <w:rPr>
                  <w:rStyle w:val="normaltextrun"/>
                  <w:rFonts w:ascii="Verdana" w:hAnsi="Verdana"/>
                  <w:color w:val="0000FF"/>
                  <w:sz w:val="20"/>
                  <w:szCs w:val="20"/>
                  <w:u w:val="single"/>
                </w:rPr>
                <w:t>Building Safety Regulator - Building safety - HSE</w:t>
              </w:r>
            </w:hyperlink>
            <w:r w:rsidRPr="00B74DB2">
              <w:rPr>
                <w:rStyle w:val="normaltextrun"/>
                <w:rFonts w:ascii="Verdana" w:hAnsi="Verdana"/>
                <w:sz w:val="20"/>
                <w:szCs w:val="20"/>
              </w:rPr>
              <w:t>)</w:t>
            </w:r>
            <w:r w:rsidRPr="00B74DB2">
              <w:rPr>
                <w:rStyle w:val="eop"/>
                <w:rFonts w:ascii="Verdana" w:hAnsi="Verdana"/>
                <w:sz w:val="20"/>
                <w:szCs w:val="20"/>
              </w:rPr>
              <w:t> </w:t>
            </w:r>
          </w:p>
          <w:p w14:paraId="337781B6" w14:textId="2F95AF98" w:rsidR="00B74DB2" w:rsidRPr="00B74DB2" w:rsidRDefault="00B74DB2" w:rsidP="00B74DB2">
            <w:pPr>
              <w:pStyle w:val="paragraph"/>
              <w:spacing w:before="0" w:beforeAutospacing="0" w:after="0" w:afterAutospacing="0"/>
              <w:ind w:left="360"/>
              <w:textAlignment w:val="baseline"/>
              <w:rPr>
                <w:rFonts w:ascii="Verdana" w:hAnsi="Verdana"/>
                <w:sz w:val="20"/>
                <w:szCs w:val="20"/>
              </w:rPr>
            </w:pPr>
          </w:p>
          <w:p w14:paraId="0AB7E881" w14:textId="50E46D6C"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Focus on higher-risk buildings, generally including residential over 18 metres: </w:t>
            </w:r>
            <w:hyperlink r:id="rId11" w:tgtFrame="_blank" w:history="1">
              <w:r w:rsidRPr="00B74DB2">
                <w:rPr>
                  <w:rStyle w:val="normaltextrun"/>
                  <w:rFonts w:ascii="Verdana" w:hAnsi="Verdana"/>
                  <w:color w:val="0000FF"/>
                  <w:sz w:val="20"/>
                  <w:szCs w:val="20"/>
                  <w:u w:val="single"/>
                </w:rPr>
                <w:t>Criteria for being a higher-risk building during the occupation phase of the new higher-risk regime - GOV.UK (www.gov.uk)</w:t>
              </w:r>
            </w:hyperlink>
            <w:r w:rsidRPr="00B74DB2">
              <w:rPr>
                <w:rStyle w:val="eop"/>
                <w:rFonts w:ascii="Verdana" w:hAnsi="Verdana"/>
                <w:color w:val="0000FF"/>
                <w:sz w:val="20"/>
                <w:szCs w:val="20"/>
              </w:rPr>
              <w:t> </w:t>
            </w:r>
          </w:p>
          <w:p w14:paraId="4C5F57FB" w14:textId="1C7E28E5"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00BF1E17" w14:textId="6FD98C96"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It puts obligations that apply throughout a building’s life cycle including design and construction:</w:t>
            </w:r>
            <w:r w:rsidRPr="00B74DB2">
              <w:rPr>
                <w:rStyle w:val="eop"/>
                <w:rFonts w:ascii="Verdana" w:hAnsi="Verdana"/>
                <w:sz w:val="20"/>
                <w:szCs w:val="20"/>
              </w:rPr>
              <w:t> </w:t>
            </w:r>
          </w:p>
          <w:p w14:paraId="3EF20D08" w14:textId="410B2922" w:rsidR="00B74DB2" w:rsidRPr="00B74DB2" w:rsidRDefault="00B74DB2" w:rsidP="00B74DB2">
            <w:pPr>
              <w:pStyle w:val="paragraph"/>
              <w:numPr>
                <w:ilvl w:val="0"/>
                <w:numId w:val="32"/>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Include requirement to maintain golden thread of information in relation to higher risk buildings, which is a digital record of the relevant documentation for the fire safety of a building: </w:t>
            </w:r>
            <w:hyperlink r:id="rId12" w:tgtFrame="_blank" w:history="1">
              <w:r w:rsidRPr="00B74DB2">
                <w:rPr>
                  <w:rStyle w:val="normaltextrun"/>
                  <w:rFonts w:ascii="Verdana" w:hAnsi="Verdana"/>
                  <w:color w:val="0000FF"/>
                  <w:sz w:val="20"/>
                  <w:szCs w:val="20"/>
                  <w:u w:val="single"/>
                </w:rPr>
                <w:t>Storing building information - golden thread - Building safety - HSE</w:t>
              </w:r>
            </w:hyperlink>
            <w:r w:rsidRPr="00B74DB2">
              <w:rPr>
                <w:rStyle w:val="normaltextrun"/>
                <w:rFonts w:ascii="Verdana" w:hAnsi="Verdana"/>
                <w:sz w:val="20"/>
                <w:szCs w:val="20"/>
              </w:rPr>
              <w:t> </w:t>
            </w:r>
            <w:r w:rsidRPr="00B74DB2">
              <w:rPr>
                <w:rStyle w:val="eop"/>
                <w:rFonts w:ascii="Verdana" w:hAnsi="Verdana"/>
                <w:sz w:val="20"/>
                <w:szCs w:val="20"/>
              </w:rPr>
              <w:t> </w:t>
            </w:r>
          </w:p>
          <w:p w14:paraId="66EAB9FB" w14:textId="0146C61D" w:rsidR="00B74DB2" w:rsidRPr="00B74DB2" w:rsidRDefault="00B74DB2" w:rsidP="00B74DB2">
            <w:pPr>
              <w:pStyle w:val="paragraph"/>
              <w:numPr>
                <w:ilvl w:val="0"/>
                <w:numId w:val="32"/>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Three gateways (planning, pre-construction and preoccupation) to pass to enable occupation: </w:t>
            </w:r>
            <w:hyperlink r:id="rId13" w:tgtFrame="_blank" w:history="1">
              <w:r w:rsidRPr="00B74DB2">
                <w:rPr>
                  <w:rStyle w:val="normaltextrun"/>
                  <w:rFonts w:ascii="Verdana" w:hAnsi="Verdana"/>
                  <w:color w:val="0000FF"/>
                  <w:sz w:val="20"/>
                  <w:szCs w:val="20"/>
                  <w:u w:val="single"/>
                </w:rPr>
                <w:t>[Withdrawn] Building control regime for higher-risk buildings (Gateways 2 and 3): factsheet - GOV.UK (www.gov.uk)</w:t>
              </w:r>
            </w:hyperlink>
            <w:r w:rsidRPr="00B74DB2">
              <w:rPr>
                <w:rStyle w:val="eop"/>
                <w:rFonts w:ascii="Verdana" w:hAnsi="Verdana"/>
                <w:color w:val="0000FF"/>
                <w:sz w:val="20"/>
                <w:szCs w:val="20"/>
              </w:rPr>
              <w:t> </w:t>
            </w:r>
          </w:p>
          <w:p w14:paraId="55EDC1D3" w14:textId="2EF3A864"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1D31AE38" w14:textId="17DF5315"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It gives requirements on the competence of those involved in buildings (</w:t>
            </w:r>
            <w:proofErr w:type="spellStart"/>
            <w:r w:rsidRPr="00B74DB2">
              <w:rPr>
                <w:rStyle w:val="normaltextrun"/>
                <w:rFonts w:ascii="Verdana" w:hAnsi="Verdana"/>
                <w:sz w:val="20"/>
                <w:szCs w:val="20"/>
              </w:rPr>
              <w:t>eg</w:t>
            </w:r>
            <w:proofErr w:type="spellEnd"/>
            <w:r w:rsidRPr="00B74DB2">
              <w:rPr>
                <w:rStyle w:val="normaltextrun"/>
                <w:rFonts w:ascii="Verdana" w:hAnsi="Verdana"/>
                <w:sz w:val="20"/>
                <w:szCs w:val="20"/>
              </w:rPr>
              <w:t xml:space="preserve"> Building Safety Pledge/self-remediation contract required by 23 March 23 – identify and do works to buildings: </w:t>
            </w:r>
            <w:hyperlink r:id="rId14" w:tgtFrame="_blank" w:history="1">
              <w:r w:rsidRPr="00B74DB2">
                <w:rPr>
                  <w:rStyle w:val="normaltextrun"/>
                  <w:rFonts w:ascii="Verdana" w:hAnsi="Verdana"/>
                  <w:color w:val="0000FF"/>
                  <w:sz w:val="20"/>
                  <w:szCs w:val="20"/>
                  <w:u w:val="single"/>
                </w:rPr>
                <w:t>Developer remediation contract – GOV.UK (www.gov.uk)</w:t>
              </w:r>
            </w:hyperlink>
            <w:r w:rsidRPr="00B74DB2">
              <w:rPr>
                <w:rStyle w:val="normaltextrun"/>
                <w:rFonts w:ascii="Verdana" w:hAnsi="Verdana"/>
                <w:sz w:val="20"/>
                <w:szCs w:val="20"/>
              </w:rPr>
              <w:t xml:space="preserve">. Changes the rules on architect's competency requirements: </w:t>
            </w:r>
            <w:hyperlink r:id="rId15" w:tgtFrame="_blank" w:history="1">
              <w:r w:rsidRPr="00B74DB2">
                <w:rPr>
                  <w:rStyle w:val="normaltextrun"/>
                  <w:rFonts w:ascii="Verdana" w:hAnsi="Verdana"/>
                  <w:color w:val="0000FF"/>
                  <w:sz w:val="20"/>
                  <w:szCs w:val="20"/>
                  <w:u w:val="single"/>
                </w:rPr>
                <w:t>Building Safety Act: How does the new regime affect architects who specialise in domestic projects? (architecture.com)</w:t>
              </w:r>
            </w:hyperlink>
            <w:r w:rsidRPr="00B74DB2">
              <w:rPr>
                <w:rStyle w:val="normaltextrun"/>
                <w:rFonts w:ascii="Verdana" w:hAnsi="Verdana"/>
                <w:sz w:val="20"/>
                <w:szCs w:val="20"/>
              </w:rPr>
              <w:t>)</w:t>
            </w:r>
            <w:r w:rsidRPr="00B74DB2">
              <w:rPr>
                <w:rStyle w:val="eop"/>
                <w:rFonts w:ascii="Verdana" w:hAnsi="Verdana"/>
                <w:sz w:val="20"/>
                <w:szCs w:val="20"/>
              </w:rPr>
              <w:t> </w:t>
            </w:r>
          </w:p>
          <w:p w14:paraId="15F569C5" w14:textId="548FDDF1"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02E772BA" w14:textId="37A14F47"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Creates accountable person and principal accountable person (PAP) (freeholder or leaseholder with interest in common parts. Can’t be outsourced. Only one PAP): </w:t>
            </w:r>
            <w:hyperlink r:id="rId16" w:tgtFrame="_blank" w:history="1">
              <w:r w:rsidRPr="00B74DB2">
                <w:rPr>
                  <w:rStyle w:val="normaltextrun"/>
                  <w:rFonts w:ascii="Verdana" w:hAnsi="Verdana"/>
                  <w:color w:val="0000FF"/>
                  <w:sz w:val="20"/>
                  <w:szCs w:val="20"/>
                  <w:u w:val="single"/>
                </w:rPr>
                <w:t>Safety in high-rise residential buildings: Accountable persons  - GOV.UK (www.gov.uk)</w:t>
              </w:r>
            </w:hyperlink>
            <w:r w:rsidRPr="00B74DB2">
              <w:rPr>
                <w:rStyle w:val="normaltextrun"/>
                <w:rFonts w:ascii="Verdana" w:hAnsi="Verdana"/>
                <w:sz w:val="20"/>
                <w:szCs w:val="20"/>
              </w:rPr>
              <w:t>)</w:t>
            </w:r>
            <w:r w:rsidRPr="00B74DB2">
              <w:rPr>
                <w:rStyle w:val="eop"/>
                <w:rFonts w:ascii="Verdana" w:hAnsi="Verdana"/>
                <w:sz w:val="20"/>
                <w:szCs w:val="20"/>
              </w:rPr>
              <w:t> </w:t>
            </w:r>
          </w:p>
          <w:p w14:paraId="0428F9FA" w14:textId="2E4249AF"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330AAC56" w14:textId="2717093C"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It has building regulation requirements that change the building control regime and introduce more onerous regime for higher risk buildings, building control approvers and registered building inspectors including the Responsible Actors Scheme: </w:t>
            </w:r>
            <w:r w:rsidRPr="00B74DB2">
              <w:rPr>
                <w:rStyle w:val="normaltextrun"/>
                <w:rFonts w:ascii="Verdana" w:hAnsi="Verdana"/>
                <w:color w:val="0000FF"/>
                <w:sz w:val="20"/>
                <w:szCs w:val="20"/>
                <w:u w:val="single"/>
              </w:rPr>
              <w:t>Responsible Actors Scheme - GOV.UK (</w:t>
            </w:r>
            <w:r w:rsidRPr="00B74DB2">
              <w:rPr>
                <w:rStyle w:val="normaltextrun"/>
                <w:rFonts w:ascii="Verdana" w:hAnsi="Verdana"/>
                <w:color w:val="0563C1"/>
                <w:sz w:val="20"/>
                <w:szCs w:val="20"/>
                <w:u w:val="single"/>
              </w:rPr>
              <w:t>www.gov.uk</w:t>
            </w:r>
            <w:r w:rsidRPr="00B74DB2">
              <w:rPr>
                <w:rStyle w:val="normaltextrun"/>
                <w:rFonts w:ascii="Verdana" w:hAnsi="Verdana"/>
                <w:color w:val="0000FF"/>
                <w:sz w:val="20"/>
                <w:szCs w:val="20"/>
                <w:u w:val="single"/>
              </w:rPr>
              <w:t>)</w:t>
            </w:r>
            <w:r w:rsidRPr="00B74DB2">
              <w:rPr>
                <w:rStyle w:val="eop"/>
                <w:rFonts w:ascii="Verdana" w:hAnsi="Verdana"/>
                <w:color w:val="0000FF"/>
                <w:sz w:val="20"/>
                <w:szCs w:val="20"/>
              </w:rPr>
              <w:t> </w:t>
            </w:r>
          </w:p>
          <w:p w14:paraId="3B8238C6" w14:textId="40117DF7"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0DC8D0D9" w14:textId="3B92D4FF"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Financial costs relating to construction in the form of a development levy that must be paid before construction begins (building safety levy – paid by developers and charged on new residential buildings. Government plan to raise 3 billion over a decade to pay towards the cost of making buildings safer) </w:t>
            </w:r>
            <w:hyperlink r:id="rId17" w:tgtFrame="_blank" w:history="1">
              <w:r w:rsidRPr="00B74DB2">
                <w:rPr>
                  <w:rStyle w:val="normaltextrun"/>
                  <w:rFonts w:ascii="Verdana" w:hAnsi="Verdana"/>
                  <w:color w:val="0000FF"/>
                  <w:sz w:val="20"/>
                  <w:szCs w:val="20"/>
                  <w:u w:val="single"/>
                </w:rPr>
                <w:t>New levy to make sure developers pay fair share for affordable housing and local infrastructure - GOV.UK (www.gov.uk)</w:t>
              </w:r>
            </w:hyperlink>
            <w:r w:rsidRPr="00B74DB2">
              <w:rPr>
                <w:rStyle w:val="normaltextrun"/>
                <w:rFonts w:ascii="Verdana" w:hAnsi="Verdana"/>
                <w:sz w:val="20"/>
                <w:szCs w:val="20"/>
              </w:rPr>
              <w:t xml:space="preserve"> and </w:t>
            </w:r>
            <w:hyperlink r:id="rId18" w:tgtFrame="_blank" w:history="1">
              <w:r w:rsidRPr="00B74DB2">
                <w:rPr>
                  <w:rStyle w:val="normaltextrun"/>
                  <w:rFonts w:ascii="Verdana" w:hAnsi="Verdana"/>
                  <w:color w:val="0000FF"/>
                  <w:sz w:val="20"/>
                  <w:szCs w:val="20"/>
                  <w:u w:val="single"/>
                </w:rPr>
                <w:t>Consultation on the Building Safety Levy - GOV.UK (www.gov.uk)</w:t>
              </w:r>
            </w:hyperlink>
            <w:r w:rsidRPr="00B74DB2">
              <w:rPr>
                <w:rStyle w:val="normaltextrun"/>
                <w:rFonts w:ascii="Verdana" w:hAnsi="Verdana"/>
                <w:sz w:val="20"/>
                <w:szCs w:val="20"/>
              </w:rPr>
              <w:t xml:space="preserve"> (consultation closed 7 Feb 23 but don’t see anything further yet)</w:t>
            </w:r>
            <w:r w:rsidRPr="00B74DB2">
              <w:rPr>
                <w:rStyle w:val="eop"/>
                <w:rFonts w:ascii="Verdana" w:hAnsi="Verdana"/>
                <w:sz w:val="20"/>
                <w:szCs w:val="20"/>
              </w:rPr>
              <w:t> </w:t>
            </w:r>
          </w:p>
          <w:p w14:paraId="6C00C695" w14:textId="7A1A39D4"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74CF3358" w14:textId="72B0E501"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Provides enforcement (compliance and stop notices) and criminal sanctions, plus extended limitation in civil actions against builder, developer or construction product supplier: </w:t>
            </w:r>
            <w:hyperlink r:id="rId19" w:tgtFrame="_blank" w:history="1">
              <w:r w:rsidRPr="00B74DB2">
                <w:rPr>
                  <w:rStyle w:val="normaltextrun"/>
                  <w:rFonts w:ascii="Verdana" w:hAnsi="Verdana"/>
                  <w:color w:val="0000FF"/>
                  <w:sz w:val="20"/>
                  <w:szCs w:val="20"/>
                  <w:u w:val="single"/>
                </w:rPr>
                <w:t>Building Safety Regulator approach to enforcement: factsheet - GOV.UK (www.gov.uk)</w:t>
              </w:r>
            </w:hyperlink>
            <w:r w:rsidRPr="00B74DB2">
              <w:rPr>
                <w:rStyle w:val="eop"/>
                <w:rFonts w:ascii="Verdana" w:hAnsi="Verdana"/>
                <w:color w:val="0000FF"/>
                <w:sz w:val="20"/>
                <w:szCs w:val="20"/>
              </w:rPr>
              <w:t> </w:t>
            </w:r>
          </w:p>
          <w:p w14:paraId="4BF1A27E" w14:textId="5B2976B2"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0FF3886E" w14:textId="56C8B03A"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lastRenderedPageBreak/>
              <w:t xml:space="preserve">It impacts leaseholder liability for the cost of remedial works (leaseholder protections, leaseholder deed of certificate and landlord certificate): </w:t>
            </w:r>
            <w:hyperlink r:id="rId20" w:tgtFrame="_blank" w:history="1">
              <w:r w:rsidRPr="00B74DB2">
                <w:rPr>
                  <w:rStyle w:val="normaltextrun"/>
                  <w:rFonts w:ascii="Verdana" w:hAnsi="Verdana"/>
                  <w:color w:val="0000FF"/>
                  <w:sz w:val="20"/>
                  <w:szCs w:val="20"/>
                  <w:u w:val="single"/>
                </w:rPr>
                <w:t>Building safety leaseholder protections: guidance for leaseholders - GOV.UK (www.gov.uk)</w:t>
              </w:r>
            </w:hyperlink>
            <w:r w:rsidRPr="00B74DB2">
              <w:rPr>
                <w:rStyle w:val="normaltextrun"/>
                <w:rFonts w:ascii="Verdana" w:hAnsi="Verdana"/>
                <w:sz w:val="20"/>
                <w:szCs w:val="20"/>
              </w:rPr>
              <w:t xml:space="preserve">, </w:t>
            </w:r>
            <w:hyperlink r:id="rId21" w:tgtFrame="_blank" w:history="1">
              <w:r w:rsidRPr="00B74DB2">
                <w:rPr>
                  <w:rStyle w:val="normaltextrun"/>
                  <w:rFonts w:ascii="Verdana" w:hAnsi="Verdana"/>
                  <w:color w:val="0000FF"/>
                  <w:sz w:val="20"/>
                  <w:szCs w:val="20"/>
                  <w:u w:val="single"/>
                </w:rPr>
                <w:t>Leaseholder protections: deed of certificate - frequently asked questions - GOV.UK (www.gov.uk)</w:t>
              </w:r>
            </w:hyperlink>
            <w:r w:rsidRPr="00B74DB2">
              <w:rPr>
                <w:rStyle w:val="normaltextrun"/>
                <w:rFonts w:ascii="Verdana" w:hAnsi="Verdana"/>
                <w:sz w:val="20"/>
                <w:szCs w:val="20"/>
              </w:rPr>
              <w:t xml:space="preserve"> and </w:t>
            </w:r>
            <w:hyperlink r:id="rId22" w:tgtFrame="_blank" w:history="1">
              <w:r w:rsidRPr="00B74DB2">
                <w:rPr>
                  <w:rStyle w:val="normaltextrun"/>
                  <w:rFonts w:ascii="Verdana" w:hAnsi="Verdana"/>
                  <w:color w:val="0000FF"/>
                  <w:sz w:val="20"/>
                  <w:szCs w:val="20"/>
                  <w:u w:val="single"/>
                </w:rPr>
                <w:t>Mandatory information required from leaseholders and current landlords - GOV.UK (www.gov.uk)</w:t>
              </w:r>
            </w:hyperlink>
            <w:r w:rsidRPr="00B74DB2">
              <w:rPr>
                <w:rStyle w:val="eop"/>
                <w:rFonts w:ascii="Verdana" w:hAnsi="Verdana"/>
                <w:color w:val="0000FF"/>
                <w:sz w:val="20"/>
                <w:szCs w:val="20"/>
              </w:rPr>
              <w:t> </w:t>
            </w:r>
          </w:p>
          <w:p w14:paraId="0CC59079" w14:textId="60BB6E18"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12442164" w14:textId="71ECDE9A"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Creates new rights and remedies including very extended limitation periods so that safety critical construction defects are remediated: E.g. DPA extension, Building Act 1984 extensions (not yet in force), Building Liability Order, Remediation Order, Remediation Contribution Order, Information Orders, construction product cause of action, Building Safety Fund/Cladding Safety Scheme, Waking Watch Fund (open until 24 November 23: </w:t>
            </w:r>
            <w:hyperlink r:id="rId23" w:anchor=":~:text=On%2025%20May%202023%20the,of%20the%20waking%20watch%20fall." w:tgtFrame="_blank" w:history="1">
              <w:r w:rsidRPr="00B74DB2">
                <w:rPr>
                  <w:rStyle w:val="normaltextrun"/>
                  <w:rFonts w:ascii="Verdana" w:hAnsi="Verdana"/>
                  <w:color w:val="0000FF"/>
                  <w:sz w:val="20"/>
                  <w:szCs w:val="20"/>
                  <w:u w:val="single"/>
                </w:rPr>
                <w:t>Waking Watch Replacement Fund 2023 - GOV.UK (www.gov.uk)</w:t>
              </w:r>
            </w:hyperlink>
            <w:r w:rsidRPr="00B74DB2">
              <w:rPr>
                <w:rStyle w:val="normaltextrun"/>
                <w:rFonts w:ascii="Verdana" w:hAnsi="Verdana"/>
                <w:sz w:val="20"/>
                <w:szCs w:val="20"/>
              </w:rPr>
              <w:t>) etc</w:t>
            </w:r>
            <w:r w:rsidRPr="00B74DB2">
              <w:rPr>
                <w:rStyle w:val="eop"/>
                <w:rFonts w:ascii="Verdana" w:hAnsi="Verdana"/>
                <w:sz w:val="20"/>
                <w:szCs w:val="20"/>
              </w:rPr>
              <w:t> </w:t>
            </w:r>
          </w:p>
          <w:p w14:paraId="5AC1ABFA" w14:textId="117B69FC"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52EF8DEE" w14:textId="371C776C"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Fire safety legislation changed – </w:t>
            </w:r>
            <w:r w:rsidRPr="00B74DB2">
              <w:rPr>
                <w:rStyle w:val="normaltextrun"/>
                <w:rFonts w:ascii="Verdana" w:hAnsi="Verdana"/>
                <w:i/>
                <w:iCs/>
                <w:sz w:val="20"/>
                <w:szCs w:val="20"/>
              </w:rPr>
              <w:t xml:space="preserve">Regulatory Reform (Fire Safety) Order 2005 (SI 2005/1541) </w:t>
            </w:r>
            <w:r w:rsidRPr="00B74DB2">
              <w:rPr>
                <w:rStyle w:val="normaltextrun"/>
                <w:rFonts w:ascii="Verdana" w:hAnsi="Verdana"/>
                <w:sz w:val="20"/>
                <w:szCs w:val="20"/>
              </w:rPr>
              <w:t xml:space="preserve">(1 Oct 23 change by s156 BSA: </w:t>
            </w:r>
            <w:hyperlink r:id="rId24" w:tgtFrame="_blank" w:history="1">
              <w:r w:rsidRPr="00B74DB2">
                <w:rPr>
                  <w:rStyle w:val="normaltextrun"/>
                  <w:rFonts w:ascii="Verdana" w:hAnsi="Verdana"/>
                  <w:color w:val="0000FF"/>
                  <w:sz w:val="20"/>
                  <w:szCs w:val="20"/>
                  <w:u w:val="single"/>
                </w:rPr>
                <w:t>Check your fire safety responsibilities under Section 156 of the Building Safety Act 2022 - GOV.UK (www.gov.uk)</w:t>
              </w:r>
            </w:hyperlink>
            <w:r w:rsidRPr="00B74DB2">
              <w:rPr>
                <w:rStyle w:val="normaltextrun"/>
                <w:rFonts w:ascii="Verdana" w:hAnsi="Verdana"/>
                <w:sz w:val="20"/>
                <w:szCs w:val="20"/>
              </w:rPr>
              <w:t>)</w:t>
            </w:r>
            <w:r w:rsidRPr="00B74DB2">
              <w:rPr>
                <w:rStyle w:val="eop"/>
                <w:rFonts w:ascii="Verdana" w:hAnsi="Verdana"/>
                <w:sz w:val="20"/>
                <w:szCs w:val="20"/>
              </w:rPr>
              <w:t> </w:t>
            </w:r>
          </w:p>
          <w:p w14:paraId="4B24C3D2" w14:textId="469DA52A"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5C791964" w14:textId="4BBFCE37"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Constructions products regime changed to make sure the products are safe (and powers</w:t>
            </w:r>
            <w:r w:rsidRPr="00B74DB2">
              <w:rPr>
                <w:rStyle w:val="normaltextrun"/>
                <w:rFonts w:ascii="Verdana" w:hAnsi="Verdana"/>
                <w:sz w:val="20"/>
                <w:szCs w:val="20"/>
              </w:rPr>
              <w:t xml:space="preserve"> </w:t>
            </w:r>
            <w:r w:rsidRPr="00B74DB2">
              <w:rPr>
                <w:rStyle w:val="normaltextrun"/>
                <w:rFonts w:ascii="Verdana" w:hAnsi="Verdana"/>
                <w:sz w:val="20"/>
                <w:szCs w:val="20"/>
              </w:rPr>
              <w:t xml:space="preserve">to sue and fine construction product manufactures): </w:t>
            </w:r>
            <w:hyperlink r:id="rId25" w:tgtFrame="_blank" w:history="1">
              <w:r w:rsidRPr="00B74DB2">
                <w:rPr>
                  <w:rStyle w:val="normaltextrun"/>
                  <w:rFonts w:ascii="Verdana" w:hAnsi="Verdana"/>
                  <w:color w:val="0000FF"/>
                  <w:sz w:val="20"/>
                  <w:szCs w:val="20"/>
                  <w:u w:val="single"/>
                </w:rPr>
                <w:t>[Withdrawn] Construction products regulatory framework: factsheet - GOV.UK (www.gov.uk)</w:t>
              </w:r>
            </w:hyperlink>
            <w:r w:rsidRPr="00B74DB2">
              <w:rPr>
                <w:rStyle w:val="eop"/>
                <w:rFonts w:ascii="Verdana" w:hAnsi="Verdana"/>
                <w:color w:val="0000FF"/>
                <w:sz w:val="20"/>
                <w:szCs w:val="20"/>
              </w:rPr>
              <w:t> </w:t>
            </w:r>
          </w:p>
          <w:p w14:paraId="2CD003D2" w14:textId="28D61413"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432F57BF" w14:textId="001442EA" w:rsidR="00B74DB2" w:rsidRPr="00B74DB2" w:rsidRDefault="00B74DB2" w:rsidP="00B74DB2">
            <w:pPr>
              <w:pStyle w:val="paragraph"/>
              <w:numPr>
                <w:ilvl w:val="0"/>
                <w:numId w:val="31"/>
              </w:numPr>
              <w:spacing w:before="0" w:beforeAutospacing="0" w:after="0" w:afterAutospacing="0"/>
              <w:textAlignment w:val="baseline"/>
              <w:rPr>
                <w:rFonts w:ascii="Verdana" w:hAnsi="Verdana"/>
                <w:b/>
                <w:bCs/>
                <w:sz w:val="20"/>
                <w:szCs w:val="20"/>
              </w:rPr>
            </w:pPr>
            <w:r w:rsidRPr="00B74DB2">
              <w:rPr>
                <w:rStyle w:val="normaltextrun"/>
                <w:rFonts w:ascii="Verdana" w:hAnsi="Verdana"/>
                <w:b/>
                <w:bCs/>
                <w:sz w:val="20"/>
                <w:szCs w:val="20"/>
              </w:rPr>
              <w:t>New homes:</w:t>
            </w:r>
            <w:r w:rsidRPr="00B74DB2">
              <w:rPr>
                <w:rStyle w:val="eop"/>
                <w:rFonts w:ascii="Verdana" w:hAnsi="Verdana"/>
                <w:b/>
                <w:bCs/>
                <w:sz w:val="20"/>
                <w:szCs w:val="20"/>
              </w:rPr>
              <w:t> </w:t>
            </w:r>
          </w:p>
          <w:p w14:paraId="0A4606AB" w14:textId="3AFAD1C1" w:rsidR="00B74DB2" w:rsidRPr="00B74DB2" w:rsidRDefault="00B74DB2" w:rsidP="00B74DB2">
            <w:pPr>
              <w:pStyle w:val="paragraph"/>
              <w:numPr>
                <w:ilvl w:val="0"/>
                <w:numId w:val="33"/>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Provides a framework for the new homes ombudsman (dispute resolution for owners of defective new build homes against developers): </w:t>
            </w:r>
            <w:hyperlink r:id="rId26" w:tgtFrame="_blank" w:history="1">
              <w:r w:rsidRPr="00B74DB2">
                <w:rPr>
                  <w:rStyle w:val="normaltextrun"/>
                  <w:rFonts w:ascii="Verdana" w:hAnsi="Verdana"/>
                  <w:color w:val="0000FF"/>
                  <w:sz w:val="20"/>
                  <w:szCs w:val="20"/>
                  <w:u w:val="single"/>
                </w:rPr>
                <w:t>An introduction to the New Homes Ombudsman - NHOS</w:t>
              </w:r>
            </w:hyperlink>
            <w:r w:rsidRPr="00B74DB2">
              <w:rPr>
                <w:rStyle w:val="eop"/>
                <w:rFonts w:ascii="Verdana" w:hAnsi="Verdana"/>
                <w:color w:val="0000FF"/>
                <w:sz w:val="20"/>
                <w:szCs w:val="20"/>
              </w:rPr>
              <w:t> </w:t>
            </w:r>
          </w:p>
          <w:p w14:paraId="3B7A7E27" w14:textId="7CC68B06" w:rsidR="00B74DB2" w:rsidRPr="00B74DB2" w:rsidRDefault="00B74DB2" w:rsidP="00B74DB2">
            <w:pPr>
              <w:pStyle w:val="paragraph"/>
              <w:numPr>
                <w:ilvl w:val="0"/>
                <w:numId w:val="33"/>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New homes build warranties (insurance covering against construction defects as a statutory requirement, yet to be in force, optional though): </w:t>
            </w:r>
            <w:hyperlink r:id="rId27" w:tgtFrame="_blank" w:history="1">
              <w:r w:rsidRPr="00B74DB2">
                <w:rPr>
                  <w:rStyle w:val="normaltextrun"/>
                  <w:rFonts w:ascii="Verdana" w:hAnsi="Verdana"/>
                  <w:color w:val="0000FF"/>
                  <w:sz w:val="20"/>
                  <w:szCs w:val="20"/>
                  <w:u w:val="single"/>
                </w:rPr>
                <w:t>[Withdrawn] New Build Warranties: factsheet - GOV.UK (www.gov.uk)</w:t>
              </w:r>
            </w:hyperlink>
            <w:r w:rsidRPr="00B74DB2">
              <w:rPr>
                <w:rStyle w:val="eop"/>
                <w:rFonts w:ascii="Verdana" w:hAnsi="Verdana"/>
                <w:color w:val="0000FF"/>
                <w:sz w:val="20"/>
                <w:szCs w:val="20"/>
              </w:rPr>
              <w:t> </w:t>
            </w:r>
          </w:p>
          <w:p w14:paraId="65466233" w14:textId="37CCF23F" w:rsidR="00B74DB2" w:rsidRPr="00B74DB2" w:rsidRDefault="00B74DB2" w:rsidP="00B74DB2">
            <w:pPr>
              <w:pStyle w:val="paragraph"/>
              <w:spacing w:before="0" w:beforeAutospacing="0" w:after="0" w:afterAutospacing="0"/>
              <w:ind w:left="120"/>
              <w:textAlignment w:val="baseline"/>
              <w:rPr>
                <w:rFonts w:ascii="Verdana" w:hAnsi="Verdana"/>
                <w:sz w:val="20"/>
                <w:szCs w:val="20"/>
              </w:rPr>
            </w:pPr>
          </w:p>
          <w:p w14:paraId="58323C08" w14:textId="12DE681F" w:rsidR="00B74DB2" w:rsidRPr="00B74DB2" w:rsidRDefault="00B74DB2" w:rsidP="00B74DB2">
            <w:pPr>
              <w:pStyle w:val="paragraph"/>
              <w:numPr>
                <w:ilvl w:val="0"/>
                <w:numId w:val="31"/>
              </w:numPr>
              <w:spacing w:before="0" w:beforeAutospacing="0" w:after="0" w:afterAutospacing="0"/>
              <w:textAlignment w:val="baseline"/>
              <w:rPr>
                <w:rFonts w:ascii="Verdana" w:hAnsi="Verdana"/>
                <w:sz w:val="20"/>
                <w:szCs w:val="20"/>
              </w:rPr>
            </w:pPr>
            <w:r w:rsidRPr="00B74DB2">
              <w:rPr>
                <w:rStyle w:val="normaltextrun"/>
                <w:rFonts w:ascii="Verdana" w:hAnsi="Verdana"/>
                <w:sz w:val="20"/>
                <w:szCs w:val="20"/>
              </w:rPr>
              <w:t xml:space="preserve">Changes how social housing tenant can raise a complaint (from 1 October 2022 they can be escalated to social housing ombudsman directly): </w:t>
            </w:r>
            <w:hyperlink r:id="rId28" w:anchor=":~:text=Changes%20to%20the%20Ombudsman%27s%20service,final%20response%20on%20their%20complaint." w:tgtFrame="_blank" w:history="1">
              <w:r w:rsidRPr="00B74DB2">
                <w:rPr>
                  <w:rStyle w:val="normaltextrun"/>
                  <w:rFonts w:ascii="Verdana" w:hAnsi="Verdana"/>
                  <w:color w:val="0000FF"/>
                  <w:sz w:val="20"/>
                  <w:szCs w:val="20"/>
                  <w:u w:val="single"/>
                </w:rPr>
                <w:t>Improved access to Ombudsman from October | HOS (housing-ombudsman.org.uk)</w:t>
              </w:r>
            </w:hyperlink>
            <w:r w:rsidRPr="00B74DB2">
              <w:rPr>
                <w:rStyle w:val="normaltextrun"/>
                <w:rFonts w:ascii="Verdana" w:hAnsi="Verdana"/>
                <w:sz w:val="20"/>
                <w:szCs w:val="20"/>
              </w:rPr>
              <w:t> </w:t>
            </w:r>
            <w:r w:rsidRPr="00B74DB2">
              <w:rPr>
                <w:rStyle w:val="eop"/>
                <w:rFonts w:ascii="Verdana" w:hAnsi="Verdana"/>
                <w:sz w:val="20"/>
                <w:szCs w:val="20"/>
              </w:rPr>
              <w:t> </w:t>
            </w:r>
          </w:p>
          <w:p w14:paraId="1A35E244" w14:textId="77777777" w:rsidR="00B74DB2" w:rsidRPr="00B74DB2" w:rsidRDefault="00B74DB2" w:rsidP="00B74DB2">
            <w:pPr>
              <w:rPr>
                <w:rFonts w:ascii="Verdana" w:hAnsi="Verdana"/>
                <w:sz w:val="20"/>
                <w:szCs w:val="20"/>
              </w:rPr>
            </w:pPr>
          </w:p>
          <w:p w14:paraId="442682F3" w14:textId="77777777" w:rsidR="00B74DB2" w:rsidRPr="00B74DB2" w:rsidRDefault="00B74DB2" w:rsidP="00B74DB2">
            <w:pPr>
              <w:rPr>
                <w:rFonts w:ascii="Verdana" w:hAnsi="Verdana"/>
                <w:b/>
                <w:bCs/>
                <w:sz w:val="20"/>
                <w:szCs w:val="20"/>
              </w:rPr>
            </w:pPr>
          </w:p>
        </w:tc>
      </w:tr>
    </w:tbl>
    <w:p w14:paraId="581E4FEE" w14:textId="5ABBBD16" w:rsidR="00D632A3" w:rsidRPr="00D632A3" w:rsidRDefault="00D632A3" w:rsidP="00D632A3">
      <w:pPr>
        <w:pBdr>
          <w:top w:val="single" w:sz="4" w:space="1" w:color="auto"/>
          <w:bottom w:val="single" w:sz="4" w:space="1" w:color="auto"/>
        </w:pBdr>
        <w:jc w:val="right"/>
        <w:rPr>
          <w:rFonts w:ascii="Verdana" w:hAnsi="Verdana" w:cstheme="minorHAnsi"/>
          <w:color w:val="248086"/>
          <w:sz w:val="20"/>
          <w:szCs w:val="20"/>
        </w:rPr>
      </w:pPr>
      <w:r>
        <w:rPr>
          <w:rFonts w:ascii="Verdana" w:hAnsi="Verdana" w:cstheme="minorHAnsi"/>
          <w:color w:val="248086"/>
          <w:sz w:val="20"/>
          <w:szCs w:val="20"/>
        </w:rPr>
        <w:lastRenderedPageBreak/>
        <w:br/>
      </w:r>
      <w:r w:rsidR="00C879D1">
        <w:rPr>
          <w:rFonts w:ascii="Verdana" w:hAnsi="Verdana" w:cstheme="minorHAnsi"/>
          <w:color w:val="248086"/>
          <w:sz w:val="20"/>
          <w:szCs w:val="20"/>
        </w:rPr>
        <w:t>Laura Tweedy</w:t>
      </w:r>
      <w:r w:rsidRPr="00D632A3">
        <w:rPr>
          <w:rFonts w:ascii="Verdana" w:hAnsi="Verdana" w:cstheme="minorHAnsi"/>
          <w:color w:val="248086"/>
          <w:sz w:val="20"/>
          <w:szCs w:val="20"/>
        </w:rPr>
        <w:br/>
        <w:t>Gatehouse Chambers</w:t>
      </w:r>
      <w:r w:rsidRPr="00D632A3">
        <w:rPr>
          <w:rFonts w:ascii="Verdana" w:hAnsi="Verdana" w:cstheme="minorHAnsi"/>
          <w:color w:val="248086"/>
          <w:sz w:val="20"/>
          <w:szCs w:val="20"/>
        </w:rPr>
        <w:br/>
      </w:r>
    </w:p>
    <w:p w14:paraId="1DED3F65" w14:textId="77777777" w:rsidR="00D632A3" w:rsidRPr="00D632A3" w:rsidRDefault="00D632A3" w:rsidP="00D632A3">
      <w:pPr>
        <w:jc w:val="both"/>
        <w:rPr>
          <w:rFonts w:ascii="Verdana" w:hAnsi="Verdana"/>
          <w:sz w:val="18"/>
          <w:szCs w:val="18"/>
        </w:rPr>
      </w:pPr>
      <w:r w:rsidRPr="00D632A3">
        <w:rPr>
          <w:rFonts w:ascii="Verdana" w:hAnsi="Verdana"/>
          <w:i/>
          <w:iCs/>
          <w:color w:val="0A3B45"/>
          <w:sz w:val="18"/>
          <w:szCs w:val="18"/>
        </w:rPr>
        <w:t>This content is provided free of charge for information purposes only. It does not constitute legal advice and should not be relied on as such. No responsibility for the accuracy and/or correctness of the information and commentary set out in the article, or for any consequences of relying on it, is assumed or accepted by any member of Chambers or by Chambers as a whole.</w:t>
      </w:r>
    </w:p>
    <w:p w14:paraId="730FD9C6" w14:textId="77777777" w:rsidR="00050F85" w:rsidRPr="00DF6ED5" w:rsidRDefault="00050F85">
      <w:pPr>
        <w:rPr>
          <w:rFonts w:ascii="Verdana" w:hAnsi="Verdana"/>
        </w:rPr>
      </w:pPr>
    </w:p>
    <w:sectPr w:rsidR="00050F85" w:rsidRPr="00DF6ED5" w:rsidSect="00DF6ED5">
      <w:headerReference w:type="default" r:id="rId29"/>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A75F" w14:textId="77777777" w:rsidR="00580052" w:rsidRDefault="00580052" w:rsidP="00DF6ED5">
      <w:pPr>
        <w:spacing w:after="0" w:line="240" w:lineRule="auto"/>
      </w:pPr>
      <w:r>
        <w:separator/>
      </w:r>
    </w:p>
  </w:endnote>
  <w:endnote w:type="continuationSeparator" w:id="0">
    <w:p w14:paraId="31313AAF" w14:textId="77777777" w:rsidR="00580052" w:rsidRDefault="00580052" w:rsidP="00DF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BA7A" w14:textId="77777777" w:rsidR="00580052" w:rsidRDefault="00580052" w:rsidP="00DF6ED5">
      <w:pPr>
        <w:spacing w:after="0" w:line="240" w:lineRule="auto"/>
      </w:pPr>
      <w:r>
        <w:separator/>
      </w:r>
    </w:p>
  </w:footnote>
  <w:footnote w:type="continuationSeparator" w:id="0">
    <w:p w14:paraId="2F678932" w14:textId="77777777" w:rsidR="00580052" w:rsidRDefault="00580052" w:rsidP="00DF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5168" w14:textId="4E10DCAF" w:rsidR="00DF6ED5" w:rsidRDefault="00DF6ED5" w:rsidP="00DF6ED5">
    <w:pPr>
      <w:pStyle w:val="Header"/>
      <w:jc w:val="center"/>
    </w:pPr>
    <w:r>
      <w:rPr>
        <w:noProof/>
      </w:rPr>
      <w:drawing>
        <wp:inline distT="0" distB="0" distL="0" distR="0" wp14:anchorId="7AC7D9B8" wp14:editId="5FF8625A">
          <wp:extent cx="1199755" cy="1024128"/>
          <wp:effectExtent l="0" t="0" r="63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598" cy="1027409"/>
                  </a:xfrm>
                  <a:prstGeom prst="rect">
                    <a:avLst/>
                  </a:prstGeom>
                  <a:noFill/>
                  <a:ln>
                    <a:noFill/>
                  </a:ln>
                </pic:spPr>
              </pic:pic>
            </a:graphicData>
          </a:graphic>
        </wp:inline>
      </w:drawing>
    </w:r>
  </w:p>
  <w:p w14:paraId="77EEF91E" w14:textId="77777777" w:rsidR="00DF6ED5" w:rsidRDefault="00DF6ED5" w:rsidP="00DF6E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146"/>
    <w:multiLevelType w:val="hybridMultilevel"/>
    <w:tmpl w:val="ACA813A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333373"/>
    <w:multiLevelType w:val="hybridMultilevel"/>
    <w:tmpl w:val="3CA0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D140B"/>
    <w:multiLevelType w:val="multilevel"/>
    <w:tmpl w:val="475ABC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90CF0"/>
    <w:multiLevelType w:val="multilevel"/>
    <w:tmpl w:val="1FC2A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C24E4"/>
    <w:multiLevelType w:val="multilevel"/>
    <w:tmpl w:val="05560C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81B10"/>
    <w:multiLevelType w:val="hybridMultilevel"/>
    <w:tmpl w:val="C85C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86432"/>
    <w:multiLevelType w:val="multilevel"/>
    <w:tmpl w:val="4350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9160A"/>
    <w:multiLevelType w:val="hybridMultilevel"/>
    <w:tmpl w:val="7216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80433"/>
    <w:multiLevelType w:val="hybridMultilevel"/>
    <w:tmpl w:val="D7B25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54C2F"/>
    <w:multiLevelType w:val="multilevel"/>
    <w:tmpl w:val="EF866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840DE"/>
    <w:multiLevelType w:val="multilevel"/>
    <w:tmpl w:val="93AA53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7F13A4"/>
    <w:multiLevelType w:val="hybridMultilevel"/>
    <w:tmpl w:val="7E7C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54774"/>
    <w:multiLevelType w:val="multilevel"/>
    <w:tmpl w:val="DF3A4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904F6D"/>
    <w:multiLevelType w:val="hybridMultilevel"/>
    <w:tmpl w:val="99DC0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8D2D4C"/>
    <w:multiLevelType w:val="hybridMultilevel"/>
    <w:tmpl w:val="3E70A7A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677691"/>
    <w:multiLevelType w:val="hybridMultilevel"/>
    <w:tmpl w:val="FFD0912C"/>
    <w:lvl w:ilvl="0" w:tplc="B07865B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1D04D8"/>
    <w:multiLevelType w:val="hybridMultilevel"/>
    <w:tmpl w:val="34AE5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836645"/>
    <w:multiLevelType w:val="multilevel"/>
    <w:tmpl w:val="49CA18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5026BC"/>
    <w:multiLevelType w:val="multilevel"/>
    <w:tmpl w:val="7D42D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B724EE"/>
    <w:multiLevelType w:val="hybridMultilevel"/>
    <w:tmpl w:val="DE4E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44360"/>
    <w:multiLevelType w:val="multilevel"/>
    <w:tmpl w:val="E2F8E5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D9936CA"/>
    <w:multiLevelType w:val="multilevel"/>
    <w:tmpl w:val="24FAD3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F76972"/>
    <w:multiLevelType w:val="multilevel"/>
    <w:tmpl w:val="2FFADC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07E8F"/>
    <w:multiLevelType w:val="hybridMultilevel"/>
    <w:tmpl w:val="EA52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8199D"/>
    <w:multiLevelType w:val="multilevel"/>
    <w:tmpl w:val="9C108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C3647B7"/>
    <w:multiLevelType w:val="multilevel"/>
    <w:tmpl w:val="DCCC08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D0852EF"/>
    <w:multiLevelType w:val="multilevel"/>
    <w:tmpl w:val="B0F403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9D6C18"/>
    <w:multiLevelType w:val="hybridMultilevel"/>
    <w:tmpl w:val="117889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01902"/>
    <w:multiLevelType w:val="hybridMultilevel"/>
    <w:tmpl w:val="F1F6245C"/>
    <w:lvl w:ilvl="0" w:tplc="2CCCFBB0">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4428EE"/>
    <w:multiLevelType w:val="multilevel"/>
    <w:tmpl w:val="EC1236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F24F72"/>
    <w:multiLevelType w:val="multilevel"/>
    <w:tmpl w:val="30BC13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7CA6298"/>
    <w:multiLevelType w:val="hybridMultilevel"/>
    <w:tmpl w:val="47B8D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2A7B3C"/>
    <w:multiLevelType w:val="multilevel"/>
    <w:tmpl w:val="FAD8F4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593464">
    <w:abstractNumId w:val="16"/>
  </w:num>
  <w:num w:numId="2" w16cid:durableId="638345178">
    <w:abstractNumId w:val="8"/>
  </w:num>
  <w:num w:numId="3" w16cid:durableId="65954510">
    <w:abstractNumId w:val="27"/>
  </w:num>
  <w:num w:numId="4" w16cid:durableId="330526352">
    <w:abstractNumId w:val="23"/>
  </w:num>
  <w:num w:numId="5" w16cid:durableId="1645312839">
    <w:abstractNumId w:val="28"/>
  </w:num>
  <w:num w:numId="6" w16cid:durableId="634263015">
    <w:abstractNumId w:val="31"/>
  </w:num>
  <w:num w:numId="7" w16cid:durableId="416053844">
    <w:abstractNumId w:val="7"/>
  </w:num>
  <w:num w:numId="8" w16cid:durableId="1785613070">
    <w:abstractNumId w:val="13"/>
  </w:num>
  <w:num w:numId="9" w16cid:durableId="2063940773">
    <w:abstractNumId w:val="5"/>
  </w:num>
  <w:num w:numId="10" w16cid:durableId="1840462683">
    <w:abstractNumId w:val="19"/>
  </w:num>
  <w:num w:numId="11" w16cid:durableId="1974479728">
    <w:abstractNumId w:val="1"/>
  </w:num>
  <w:num w:numId="12" w16cid:durableId="1433864571">
    <w:abstractNumId w:val="6"/>
  </w:num>
  <w:num w:numId="13" w16cid:durableId="1490093398">
    <w:abstractNumId w:val="12"/>
  </w:num>
  <w:num w:numId="14" w16cid:durableId="550076387">
    <w:abstractNumId w:val="3"/>
  </w:num>
  <w:num w:numId="15" w16cid:durableId="1209029107">
    <w:abstractNumId w:val="24"/>
  </w:num>
  <w:num w:numId="16" w16cid:durableId="594557323">
    <w:abstractNumId w:val="20"/>
  </w:num>
  <w:num w:numId="17" w16cid:durableId="1417091343">
    <w:abstractNumId w:val="9"/>
  </w:num>
  <w:num w:numId="18" w16cid:durableId="1266614409">
    <w:abstractNumId w:val="17"/>
  </w:num>
  <w:num w:numId="19" w16cid:durableId="2134128233">
    <w:abstractNumId w:val="26"/>
  </w:num>
  <w:num w:numId="20" w16cid:durableId="1613122677">
    <w:abstractNumId w:val="32"/>
  </w:num>
  <w:num w:numId="21" w16cid:durableId="1107654156">
    <w:abstractNumId w:val="2"/>
  </w:num>
  <w:num w:numId="22" w16cid:durableId="183832867">
    <w:abstractNumId w:val="18"/>
  </w:num>
  <w:num w:numId="23" w16cid:durableId="607009462">
    <w:abstractNumId w:val="29"/>
  </w:num>
  <w:num w:numId="24" w16cid:durableId="1077828125">
    <w:abstractNumId w:val="4"/>
  </w:num>
  <w:num w:numId="25" w16cid:durableId="237710075">
    <w:abstractNumId w:val="10"/>
  </w:num>
  <w:num w:numId="26" w16cid:durableId="1307902995">
    <w:abstractNumId w:val="22"/>
  </w:num>
  <w:num w:numId="27" w16cid:durableId="2085756582">
    <w:abstractNumId w:val="25"/>
  </w:num>
  <w:num w:numId="28" w16cid:durableId="271981051">
    <w:abstractNumId w:val="30"/>
  </w:num>
  <w:num w:numId="29" w16cid:durableId="1349790087">
    <w:abstractNumId w:val="21"/>
  </w:num>
  <w:num w:numId="30" w16cid:durableId="515852102">
    <w:abstractNumId w:val="11"/>
  </w:num>
  <w:num w:numId="31" w16cid:durableId="659113909">
    <w:abstractNumId w:val="15"/>
  </w:num>
  <w:num w:numId="32" w16cid:durableId="1194534347">
    <w:abstractNumId w:val="14"/>
  </w:num>
  <w:num w:numId="33" w16cid:durableId="142568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D5"/>
    <w:rsid w:val="00050F85"/>
    <w:rsid w:val="001C241A"/>
    <w:rsid w:val="00232A1E"/>
    <w:rsid w:val="00521E69"/>
    <w:rsid w:val="00580052"/>
    <w:rsid w:val="00665829"/>
    <w:rsid w:val="00851ED2"/>
    <w:rsid w:val="009B637A"/>
    <w:rsid w:val="00B74DB2"/>
    <w:rsid w:val="00C879D1"/>
    <w:rsid w:val="00D632A3"/>
    <w:rsid w:val="00DF6ED5"/>
    <w:rsid w:val="00EE4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AC0E4"/>
  <w15:chartTrackingRefBased/>
  <w15:docId w15:val="{0D9030F9-DFE7-444E-901D-EADCCC66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ED5"/>
  </w:style>
  <w:style w:type="paragraph" w:styleId="Footer">
    <w:name w:val="footer"/>
    <w:basedOn w:val="Normal"/>
    <w:link w:val="FooterChar"/>
    <w:uiPriority w:val="99"/>
    <w:unhideWhenUsed/>
    <w:rsid w:val="00DF6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ED5"/>
  </w:style>
  <w:style w:type="table" w:styleId="TableGrid">
    <w:name w:val="Table Grid"/>
    <w:basedOn w:val="TableNormal"/>
    <w:uiPriority w:val="39"/>
    <w:rsid w:val="00DF6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ED5"/>
    <w:pPr>
      <w:ind w:left="720"/>
      <w:contextualSpacing/>
    </w:pPr>
  </w:style>
  <w:style w:type="character" w:styleId="Hyperlink">
    <w:name w:val="Hyperlink"/>
    <w:basedOn w:val="DefaultParagraphFont"/>
    <w:uiPriority w:val="99"/>
    <w:unhideWhenUsed/>
    <w:rsid w:val="00D632A3"/>
    <w:rPr>
      <w:color w:val="0563C1" w:themeColor="hyperlink"/>
      <w:u w:val="single"/>
    </w:rPr>
  </w:style>
  <w:style w:type="paragraph" w:customStyle="1" w:styleId="paragraph">
    <w:name w:val="paragraph"/>
    <w:basedOn w:val="Normal"/>
    <w:rsid w:val="00B74D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4DB2"/>
  </w:style>
  <w:style w:type="character" w:customStyle="1" w:styleId="eop">
    <w:name w:val="eop"/>
    <w:basedOn w:val="DefaultParagraphFont"/>
    <w:rsid w:val="00B7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21315">
      <w:bodyDiv w:val="1"/>
      <w:marLeft w:val="0"/>
      <w:marRight w:val="0"/>
      <w:marTop w:val="0"/>
      <w:marBottom w:val="0"/>
      <w:divBdr>
        <w:top w:val="none" w:sz="0" w:space="0" w:color="auto"/>
        <w:left w:val="none" w:sz="0" w:space="0" w:color="auto"/>
        <w:bottom w:val="none" w:sz="0" w:space="0" w:color="auto"/>
        <w:right w:val="none" w:sz="0" w:space="0" w:color="auto"/>
      </w:divBdr>
      <w:divsChild>
        <w:div w:id="1809786019">
          <w:marLeft w:val="0"/>
          <w:marRight w:val="0"/>
          <w:marTop w:val="0"/>
          <w:marBottom w:val="0"/>
          <w:divBdr>
            <w:top w:val="none" w:sz="0" w:space="0" w:color="auto"/>
            <w:left w:val="none" w:sz="0" w:space="0" w:color="auto"/>
            <w:bottom w:val="none" w:sz="0" w:space="0" w:color="auto"/>
            <w:right w:val="none" w:sz="0" w:space="0" w:color="auto"/>
          </w:divBdr>
        </w:div>
        <w:div w:id="106438749">
          <w:marLeft w:val="0"/>
          <w:marRight w:val="0"/>
          <w:marTop w:val="0"/>
          <w:marBottom w:val="0"/>
          <w:divBdr>
            <w:top w:val="none" w:sz="0" w:space="0" w:color="auto"/>
            <w:left w:val="none" w:sz="0" w:space="0" w:color="auto"/>
            <w:bottom w:val="none" w:sz="0" w:space="0" w:color="auto"/>
            <w:right w:val="none" w:sz="0" w:space="0" w:color="auto"/>
          </w:divBdr>
        </w:div>
        <w:div w:id="1938437397">
          <w:marLeft w:val="0"/>
          <w:marRight w:val="0"/>
          <w:marTop w:val="0"/>
          <w:marBottom w:val="0"/>
          <w:divBdr>
            <w:top w:val="none" w:sz="0" w:space="0" w:color="auto"/>
            <w:left w:val="none" w:sz="0" w:space="0" w:color="auto"/>
            <w:bottom w:val="none" w:sz="0" w:space="0" w:color="auto"/>
            <w:right w:val="none" w:sz="0" w:space="0" w:color="auto"/>
          </w:divBdr>
        </w:div>
        <w:div w:id="1977563053">
          <w:marLeft w:val="0"/>
          <w:marRight w:val="0"/>
          <w:marTop w:val="0"/>
          <w:marBottom w:val="0"/>
          <w:divBdr>
            <w:top w:val="none" w:sz="0" w:space="0" w:color="auto"/>
            <w:left w:val="none" w:sz="0" w:space="0" w:color="auto"/>
            <w:bottom w:val="none" w:sz="0" w:space="0" w:color="auto"/>
            <w:right w:val="none" w:sz="0" w:space="0" w:color="auto"/>
          </w:divBdr>
        </w:div>
        <w:div w:id="2023433404">
          <w:marLeft w:val="0"/>
          <w:marRight w:val="0"/>
          <w:marTop w:val="0"/>
          <w:marBottom w:val="0"/>
          <w:divBdr>
            <w:top w:val="none" w:sz="0" w:space="0" w:color="auto"/>
            <w:left w:val="none" w:sz="0" w:space="0" w:color="auto"/>
            <w:bottom w:val="none" w:sz="0" w:space="0" w:color="auto"/>
            <w:right w:val="none" w:sz="0" w:space="0" w:color="auto"/>
          </w:divBdr>
        </w:div>
        <w:div w:id="726299571">
          <w:marLeft w:val="0"/>
          <w:marRight w:val="0"/>
          <w:marTop w:val="0"/>
          <w:marBottom w:val="0"/>
          <w:divBdr>
            <w:top w:val="none" w:sz="0" w:space="0" w:color="auto"/>
            <w:left w:val="none" w:sz="0" w:space="0" w:color="auto"/>
            <w:bottom w:val="none" w:sz="0" w:space="0" w:color="auto"/>
            <w:right w:val="none" w:sz="0" w:space="0" w:color="auto"/>
          </w:divBdr>
        </w:div>
        <w:div w:id="1207716104">
          <w:marLeft w:val="0"/>
          <w:marRight w:val="0"/>
          <w:marTop w:val="0"/>
          <w:marBottom w:val="0"/>
          <w:divBdr>
            <w:top w:val="none" w:sz="0" w:space="0" w:color="auto"/>
            <w:left w:val="none" w:sz="0" w:space="0" w:color="auto"/>
            <w:bottom w:val="none" w:sz="0" w:space="0" w:color="auto"/>
            <w:right w:val="none" w:sz="0" w:space="0" w:color="auto"/>
          </w:divBdr>
        </w:div>
        <w:div w:id="1130589586">
          <w:marLeft w:val="0"/>
          <w:marRight w:val="0"/>
          <w:marTop w:val="0"/>
          <w:marBottom w:val="0"/>
          <w:divBdr>
            <w:top w:val="none" w:sz="0" w:space="0" w:color="auto"/>
            <w:left w:val="none" w:sz="0" w:space="0" w:color="auto"/>
            <w:bottom w:val="none" w:sz="0" w:space="0" w:color="auto"/>
            <w:right w:val="none" w:sz="0" w:space="0" w:color="auto"/>
          </w:divBdr>
        </w:div>
        <w:div w:id="2119136304">
          <w:marLeft w:val="0"/>
          <w:marRight w:val="0"/>
          <w:marTop w:val="0"/>
          <w:marBottom w:val="0"/>
          <w:divBdr>
            <w:top w:val="none" w:sz="0" w:space="0" w:color="auto"/>
            <w:left w:val="none" w:sz="0" w:space="0" w:color="auto"/>
            <w:bottom w:val="none" w:sz="0" w:space="0" w:color="auto"/>
            <w:right w:val="none" w:sz="0" w:space="0" w:color="auto"/>
          </w:divBdr>
        </w:div>
        <w:div w:id="155149588">
          <w:marLeft w:val="0"/>
          <w:marRight w:val="0"/>
          <w:marTop w:val="0"/>
          <w:marBottom w:val="0"/>
          <w:divBdr>
            <w:top w:val="none" w:sz="0" w:space="0" w:color="auto"/>
            <w:left w:val="none" w:sz="0" w:space="0" w:color="auto"/>
            <w:bottom w:val="none" w:sz="0" w:space="0" w:color="auto"/>
            <w:right w:val="none" w:sz="0" w:space="0" w:color="auto"/>
          </w:divBdr>
        </w:div>
        <w:div w:id="945961732">
          <w:marLeft w:val="0"/>
          <w:marRight w:val="0"/>
          <w:marTop w:val="0"/>
          <w:marBottom w:val="0"/>
          <w:divBdr>
            <w:top w:val="none" w:sz="0" w:space="0" w:color="auto"/>
            <w:left w:val="none" w:sz="0" w:space="0" w:color="auto"/>
            <w:bottom w:val="none" w:sz="0" w:space="0" w:color="auto"/>
            <w:right w:val="none" w:sz="0" w:space="0" w:color="auto"/>
          </w:divBdr>
        </w:div>
        <w:div w:id="529728565">
          <w:marLeft w:val="0"/>
          <w:marRight w:val="0"/>
          <w:marTop w:val="0"/>
          <w:marBottom w:val="0"/>
          <w:divBdr>
            <w:top w:val="none" w:sz="0" w:space="0" w:color="auto"/>
            <w:left w:val="none" w:sz="0" w:space="0" w:color="auto"/>
            <w:bottom w:val="none" w:sz="0" w:space="0" w:color="auto"/>
            <w:right w:val="none" w:sz="0" w:space="0" w:color="auto"/>
          </w:divBdr>
        </w:div>
        <w:div w:id="494536311">
          <w:marLeft w:val="0"/>
          <w:marRight w:val="0"/>
          <w:marTop w:val="0"/>
          <w:marBottom w:val="0"/>
          <w:divBdr>
            <w:top w:val="none" w:sz="0" w:space="0" w:color="auto"/>
            <w:left w:val="none" w:sz="0" w:space="0" w:color="auto"/>
            <w:bottom w:val="none" w:sz="0" w:space="0" w:color="auto"/>
            <w:right w:val="none" w:sz="0" w:space="0" w:color="auto"/>
          </w:divBdr>
        </w:div>
        <w:div w:id="492065487">
          <w:marLeft w:val="0"/>
          <w:marRight w:val="0"/>
          <w:marTop w:val="0"/>
          <w:marBottom w:val="0"/>
          <w:divBdr>
            <w:top w:val="none" w:sz="0" w:space="0" w:color="auto"/>
            <w:left w:val="none" w:sz="0" w:space="0" w:color="auto"/>
            <w:bottom w:val="none" w:sz="0" w:space="0" w:color="auto"/>
            <w:right w:val="none" w:sz="0" w:space="0" w:color="auto"/>
          </w:divBdr>
        </w:div>
        <w:div w:id="1621914674">
          <w:marLeft w:val="0"/>
          <w:marRight w:val="0"/>
          <w:marTop w:val="0"/>
          <w:marBottom w:val="0"/>
          <w:divBdr>
            <w:top w:val="none" w:sz="0" w:space="0" w:color="auto"/>
            <w:left w:val="none" w:sz="0" w:space="0" w:color="auto"/>
            <w:bottom w:val="none" w:sz="0" w:space="0" w:color="auto"/>
            <w:right w:val="none" w:sz="0" w:space="0" w:color="auto"/>
          </w:divBdr>
        </w:div>
        <w:div w:id="1329603423">
          <w:marLeft w:val="0"/>
          <w:marRight w:val="0"/>
          <w:marTop w:val="0"/>
          <w:marBottom w:val="0"/>
          <w:divBdr>
            <w:top w:val="none" w:sz="0" w:space="0" w:color="auto"/>
            <w:left w:val="none" w:sz="0" w:space="0" w:color="auto"/>
            <w:bottom w:val="none" w:sz="0" w:space="0" w:color="auto"/>
            <w:right w:val="none" w:sz="0" w:space="0" w:color="auto"/>
          </w:divBdr>
        </w:div>
        <w:div w:id="2108846830">
          <w:marLeft w:val="0"/>
          <w:marRight w:val="0"/>
          <w:marTop w:val="0"/>
          <w:marBottom w:val="0"/>
          <w:divBdr>
            <w:top w:val="none" w:sz="0" w:space="0" w:color="auto"/>
            <w:left w:val="none" w:sz="0" w:space="0" w:color="auto"/>
            <w:bottom w:val="none" w:sz="0" w:space="0" w:color="auto"/>
            <w:right w:val="none" w:sz="0" w:space="0" w:color="auto"/>
          </w:divBdr>
        </w:div>
        <w:div w:id="1210415852">
          <w:marLeft w:val="0"/>
          <w:marRight w:val="0"/>
          <w:marTop w:val="0"/>
          <w:marBottom w:val="0"/>
          <w:divBdr>
            <w:top w:val="none" w:sz="0" w:space="0" w:color="auto"/>
            <w:left w:val="none" w:sz="0" w:space="0" w:color="auto"/>
            <w:bottom w:val="none" w:sz="0" w:space="0" w:color="auto"/>
            <w:right w:val="none" w:sz="0" w:space="0" w:color="auto"/>
          </w:divBdr>
        </w:div>
        <w:div w:id="313342429">
          <w:marLeft w:val="0"/>
          <w:marRight w:val="0"/>
          <w:marTop w:val="0"/>
          <w:marBottom w:val="0"/>
          <w:divBdr>
            <w:top w:val="none" w:sz="0" w:space="0" w:color="auto"/>
            <w:left w:val="none" w:sz="0" w:space="0" w:color="auto"/>
            <w:bottom w:val="none" w:sz="0" w:space="0" w:color="auto"/>
            <w:right w:val="none" w:sz="0" w:space="0" w:color="auto"/>
          </w:divBdr>
        </w:div>
        <w:div w:id="1773932371">
          <w:marLeft w:val="0"/>
          <w:marRight w:val="0"/>
          <w:marTop w:val="0"/>
          <w:marBottom w:val="0"/>
          <w:divBdr>
            <w:top w:val="none" w:sz="0" w:space="0" w:color="auto"/>
            <w:left w:val="none" w:sz="0" w:space="0" w:color="auto"/>
            <w:bottom w:val="none" w:sz="0" w:space="0" w:color="auto"/>
            <w:right w:val="none" w:sz="0" w:space="0" w:color="auto"/>
          </w:divBdr>
        </w:div>
        <w:div w:id="191502654">
          <w:marLeft w:val="0"/>
          <w:marRight w:val="0"/>
          <w:marTop w:val="0"/>
          <w:marBottom w:val="0"/>
          <w:divBdr>
            <w:top w:val="none" w:sz="0" w:space="0" w:color="auto"/>
            <w:left w:val="none" w:sz="0" w:space="0" w:color="auto"/>
            <w:bottom w:val="none" w:sz="0" w:space="0" w:color="auto"/>
            <w:right w:val="none" w:sz="0" w:space="0" w:color="auto"/>
          </w:divBdr>
        </w:div>
        <w:div w:id="1618415791">
          <w:marLeft w:val="0"/>
          <w:marRight w:val="0"/>
          <w:marTop w:val="0"/>
          <w:marBottom w:val="0"/>
          <w:divBdr>
            <w:top w:val="none" w:sz="0" w:space="0" w:color="auto"/>
            <w:left w:val="none" w:sz="0" w:space="0" w:color="auto"/>
            <w:bottom w:val="none" w:sz="0" w:space="0" w:color="auto"/>
            <w:right w:val="none" w:sz="0" w:space="0" w:color="auto"/>
          </w:divBdr>
        </w:div>
        <w:div w:id="1542984752">
          <w:marLeft w:val="0"/>
          <w:marRight w:val="0"/>
          <w:marTop w:val="0"/>
          <w:marBottom w:val="0"/>
          <w:divBdr>
            <w:top w:val="none" w:sz="0" w:space="0" w:color="auto"/>
            <w:left w:val="none" w:sz="0" w:space="0" w:color="auto"/>
            <w:bottom w:val="none" w:sz="0" w:space="0" w:color="auto"/>
            <w:right w:val="none" w:sz="0" w:space="0" w:color="auto"/>
          </w:divBdr>
        </w:div>
        <w:div w:id="308633123">
          <w:marLeft w:val="0"/>
          <w:marRight w:val="0"/>
          <w:marTop w:val="0"/>
          <w:marBottom w:val="0"/>
          <w:divBdr>
            <w:top w:val="none" w:sz="0" w:space="0" w:color="auto"/>
            <w:left w:val="none" w:sz="0" w:space="0" w:color="auto"/>
            <w:bottom w:val="none" w:sz="0" w:space="0" w:color="auto"/>
            <w:right w:val="none" w:sz="0" w:space="0" w:color="auto"/>
          </w:divBdr>
        </w:div>
        <w:div w:id="374893511">
          <w:marLeft w:val="0"/>
          <w:marRight w:val="0"/>
          <w:marTop w:val="0"/>
          <w:marBottom w:val="0"/>
          <w:divBdr>
            <w:top w:val="none" w:sz="0" w:space="0" w:color="auto"/>
            <w:left w:val="none" w:sz="0" w:space="0" w:color="auto"/>
            <w:bottom w:val="none" w:sz="0" w:space="0" w:color="auto"/>
            <w:right w:val="none" w:sz="0" w:space="0" w:color="auto"/>
          </w:divBdr>
        </w:div>
        <w:div w:id="1384907645">
          <w:marLeft w:val="0"/>
          <w:marRight w:val="0"/>
          <w:marTop w:val="0"/>
          <w:marBottom w:val="0"/>
          <w:divBdr>
            <w:top w:val="none" w:sz="0" w:space="0" w:color="auto"/>
            <w:left w:val="none" w:sz="0" w:space="0" w:color="auto"/>
            <w:bottom w:val="none" w:sz="0" w:space="0" w:color="auto"/>
            <w:right w:val="none" w:sz="0" w:space="0" w:color="auto"/>
          </w:divBdr>
        </w:div>
        <w:div w:id="235436263">
          <w:marLeft w:val="0"/>
          <w:marRight w:val="0"/>
          <w:marTop w:val="0"/>
          <w:marBottom w:val="0"/>
          <w:divBdr>
            <w:top w:val="none" w:sz="0" w:space="0" w:color="auto"/>
            <w:left w:val="none" w:sz="0" w:space="0" w:color="auto"/>
            <w:bottom w:val="none" w:sz="0" w:space="0" w:color="auto"/>
            <w:right w:val="none" w:sz="0" w:space="0" w:color="auto"/>
          </w:divBdr>
        </w:div>
        <w:div w:id="1955671686">
          <w:marLeft w:val="0"/>
          <w:marRight w:val="0"/>
          <w:marTop w:val="0"/>
          <w:marBottom w:val="0"/>
          <w:divBdr>
            <w:top w:val="none" w:sz="0" w:space="0" w:color="auto"/>
            <w:left w:val="none" w:sz="0" w:space="0" w:color="auto"/>
            <w:bottom w:val="none" w:sz="0" w:space="0" w:color="auto"/>
            <w:right w:val="none" w:sz="0" w:space="0" w:color="auto"/>
          </w:divBdr>
        </w:div>
        <w:div w:id="2050108770">
          <w:marLeft w:val="0"/>
          <w:marRight w:val="0"/>
          <w:marTop w:val="0"/>
          <w:marBottom w:val="0"/>
          <w:divBdr>
            <w:top w:val="none" w:sz="0" w:space="0" w:color="auto"/>
            <w:left w:val="none" w:sz="0" w:space="0" w:color="auto"/>
            <w:bottom w:val="none" w:sz="0" w:space="0" w:color="auto"/>
            <w:right w:val="none" w:sz="0" w:space="0" w:color="auto"/>
          </w:divBdr>
        </w:div>
        <w:div w:id="231236417">
          <w:marLeft w:val="0"/>
          <w:marRight w:val="0"/>
          <w:marTop w:val="0"/>
          <w:marBottom w:val="0"/>
          <w:divBdr>
            <w:top w:val="none" w:sz="0" w:space="0" w:color="auto"/>
            <w:left w:val="none" w:sz="0" w:space="0" w:color="auto"/>
            <w:bottom w:val="none" w:sz="0" w:space="0" w:color="auto"/>
            <w:right w:val="none" w:sz="0" w:space="0" w:color="auto"/>
          </w:divBdr>
        </w:div>
        <w:div w:id="1528790132">
          <w:marLeft w:val="0"/>
          <w:marRight w:val="0"/>
          <w:marTop w:val="0"/>
          <w:marBottom w:val="0"/>
          <w:divBdr>
            <w:top w:val="none" w:sz="0" w:space="0" w:color="auto"/>
            <w:left w:val="none" w:sz="0" w:space="0" w:color="auto"/>
            <w:bottom w:val="none" w:sz="0" w:space="0" w:color="auto"/>
            <w:right w:val="none" w:sz="0" w:space="0" w:color="auto"/>
          </w:divBdr>
        </w:div>
      </w:divsChild>
    </w:div>
    <w:div w:id="1459449227">
      <w:bodyDiv w:val="1"/>
      <w:marLeft w:val="0"/>
      <w:marRight w:val="0"/>
      <w:marTop w:val="0"/>
      <w:marBottom w:val="0"/>
      <w:divBdr>
        <w:top w:val="none" w:sz="0" w:space="0" w:color="auto"/>
        <w:left w:val="none" w:sz="0" w:space="0" w:color="auto"/>
        <w:bottom w:val="none" w:sz="0" w:space="0" w:color="auto"/>
        <w:right w:val="none" w:sz="0" w:space="0" w:color="auto"/>
      </w:divBdr>
      <w:divsChild>
        <w:div w:id="1223903225">
          <w:marLeft w:val="0"/>
          <w:marRight w:val="0"/>
          <w:marTop w:val="0"/>
          <w:marBottom w:val="0"/>
          <w:divBdr>
            <w:top w:val="none" w:sz="0" w:space="0" w:color="auto"/>
            <w:left w:val="none" w:sz="0" w:space="0" w:color="auto"/>
            <w:bottom w:val="none" w:sz="0" w:space="0" w:color="auto"/>
            <w:right w:val="none" w:sz="0" w:space="0" w:color="auto"/>
          </w:divBdr>
        </w:div>
        <w:div w:id="923226276">
          <w:marLeft w:val="0"/>
          <w:marRight w:val="0"/>
          <w:marTop w:val="0"/>
          <w:marBottom w:val="0"/>
          <w:divBdr>
            <w:top w:val="none" w:sz="0" w:space="0" w:color="auto"/>
            <w:left w:val="none" w:sz="0" w:space="0" w:color="auto"/>
            <w:bottom w:val="none" w:sz="0" w:space="0" w:color="auto"/>
            <w:right w:val="none" w:sz="0" w:space="0" w:color="auto"/>
          </w:divBdr>
        </w:div>
        <w:div w:id="593320721">
          <w:marLeft w:val="0"/>
          <w:marRight w:val="0"/>
          <w:marTop w:val="0"/>
          <w:marBottom w:val="0"/>
          <w:divBdr>
            <w:top w:val="none" w:sz="0" w:space="0" w:color="auto"/>
            <w:left w:val="none" w:sz="0" w:space="0" w:color="auto"/>
            <w:bottom w:val="none" w:sz="0" w:space="0" w:color="auto"/>
            <w:right w:val="none" w:sz="0" w:space="0" w:color="auto"/>
          </w:divBdr>
        </w:div>
        <w:div w:id="750546178">
          <w:marLeft w:val="0"/>
          <w:marRight w:val="0"/>
          <w:marTop w:val="0"/>
          <w:marBottom w:val="0"/>
          <w:divBdr>
            <w:top w:val="none" w:sz="0" w:space="0" w:color="auto"/>
            <w:left w:val="none" w:sz="0" w:space="0" w:color="auto"/>
            <w:bottom w:val="none" w:sz="0" w:space="0" w:color="auto"/>
            <w:right w:val="none" w:sz="0" w:space="0" w:color="auto"/>
          </w:divBdr>
        </w:div>
        <w:div w:id="1684823897">
          <w:marLeft w:val="0"/>
          <w:marRight w:val="0"/>
          <w:marTop w:val="0"/>
          <w:marBottom w:val="0"/>
          <w:divBdr>
            <w:top w:val="none" w:sz="0" w:space="0" w:color="auto"/>
            <w:left w:val="none" w:sz="0" w:space="0" w:color="auto"/>
            <w:bottom w:val="none" w:sz="0" w:space="0" w:color="auto"/>
            <w:right w:val="none" w:sz="0" w:space="0" w:color="auto"/>
          </w:divBdr>
        </w:div>
        <w:div w:id="1967003800">
          <w:marLeft w:val="0"/>
          <w:marRight w:val="0"/>
          <w:marTop w:val="0"/>
          <w:marBottom w:val="0"/>
          <w:divBdr>
            <w:top w:val="none" w:sz="0" w:space="0" w:color="auto"/>
            <w:left w:val="none" w:sz="0" w:space="0" w:color="auto"/>
            <w:bottom w:val="none" w:sz="0" w:space="0" w:color="auto"/>
            <w:right w:val="none" w:sz="0" w:space="0" w:color="auto"/>
          </w:divBdr>
        </w:div>
        <w:div w:id="1489056301">
          <w:marLeft w:val="0"/>
          <w:marRight w:val="0"/>
          <w:marTop w:val="0"/>
          <w:marBottom w:val="0"/>
          <w:divBdr>
            <w:top w:val="none" w:sz="0" w:space="0" w:color="auto"/>
            <w:left w:val="none" w:sz="0" w:space="0" w:color="auto"/>
            <w:bottom w:val="none" w:sz="0" w:space="0" w:color="auto"/>
            <w:right w:val="none" w:sz="0" w:space="0" w:color="auto"/>
          </w:divBdr>
        </w:div>
        <w:div w:id="111945040">
          <w:marLeft w:val="0"/>
          <w:marRight w:val="0"/>
          <w:marTop w:val="0"/>
          <w:marBottom w:val="0"/>
          <w:divBdr>
            <w:top w:val="none" w:sz="0" w:space="0" w:color="auto"/>
            <w:left w:val="none" w:sz="0" w:space="0" w:color="auto"/>
            <w:bottom w:val="none" w:sz="0" w:space="0" w:color="auto"/>
            <w:right w:val="none" w:sz="0" w:space="0" w:color="auto"/>
          </w:divBdr>
        </w:div>
        <w:div w:id="2016110181">
          <w:marLeft w:val="0"/>
          <w:marRight w:val="0"/>
          <w:marTop w:val="0"/>
          <w:marBottom w:val="0"/>
          <w:divBdr>
            <w:top w:val="none" w:sz="0" w:space="0" w:color="auto"/>
            <w:left w:val="none" w:sz="0" w:space="0" w:color="auto"/>
            <w:bottom w:val="none" w:sz="0" w:space="0" w:color="auto"/>
            <w:right w:val="none" w:sz="0" w:space="0" w:color="auto"/>
          </w:divBdr>
        </w:div>
        <w:div w:id="1290435195">
          <w:marLeft w:val="0"/>
          <w:marRight w:val="0"/>
          <w:marTop w:val="0"/>
          <w:marBottom w:val="0"/>
          <w:divBdr>
            <w:top w:val="none" w:sz="0" w:space="0" w:color="auto"/>
            <w:left w:val="none" w:sz="0" w:space="0" w:color="auto"/>
            <w:bottom w:val="none" w:sz="0" w:space="0" w:color="auto"/>
            <w:right w:val="none" w:sz="0" w:space="0" w:color="auto"/>
          </w:divBdr>
        </w:div>
        <w:div w:id="1845590021">
          <w:marLeft w:val="0"/>
          <w:marRight w:val="0"/>
          <w:marTop w:val="0"/>
          <w:marBottom w:val="0"/>
          <w:divBdr>
            <w:top w:val="none" w:sz="0" w:space="0" w:color="auto"/>
            <w:left w:val="none" w:sz="0" w:space="0" w:color="auto"/>
            <w:bottom w:val="none" w:sz="0" w:space="0" w:color="auto"/>
            <w:right w:val="none" w:sz="0" w:space="0" w:color="auto"/>
          </w:divBdr>
        </w:div>
        <w:div w:id="2032872346">
          <w:marLeft w:val="0"/>
          <w:marRight w:val="0"/>
          <w:marTop w:val="0"/>
          <w:marBottom w:val="0"/>
          <w:divBdr>
            <w:top w:val="none" w:sz="0" w:space="0" w:color="auto"/>
            <w:left w:val="none" w:sz="0" w:space="0" w:color="auto"/>
            <w:bottom w:val="none" w:sz="0" w:space="0" w:color="auto"/>
            <w:right w:val="none" w:sz="0" w:space="0" w:color="auto"/>
          </w:divBdr>
        </w:div>
        <w:div w:id="557204430">
          <w:marLeft w:val="0"/>
          <w:marRight w:val="0"/>
          <w:marTop w:val="0"/>
          <w:marBottom w:val="0"/>
          <w:divBdr>
            <w:top w:val="none" w:sz="0" w:space="0" w:color="auto"/>
            <w:left w:val="none" w:sz="0" w:space="0" w:color="auto"/>
            <w:bottom w:val="none" w:sz="0" w:space="0" w:color="auto"/>
            <w:right w:val="none" w:sz="0" w:space="0" w:color="auto"/>
          </w:divBdr>
        </w:div>
        <w:div w:id="1373730540">
          <w:marLeft w:val="0"/>
          <w:marRight w:val="0"/>
          <w:marTop w:val="0"/>
          <w:marBottom w:val="0"/>
          <w:divBdr>
            <w:top w:val="none" w:sz="0" w:space="0" w:color="auto"/>
            <w:left w:val="none" w:sz="0" w:space="0" w:color="auto"/>
            <w:bottom w:val="none" w:sz="0" w:space="0" w:color="auto"/>
            <w:right w:val="none" w:sz="0" w:space="0" w:color="auto"/>
          </w:divBdr>
        </w:div>
        <w:div w:id="1925802097">
          <w:marLeft w:val="0"/>
          <w:marRight w:val="0"/>
          <w:marTop w:val="0"/>
          <w:marBottom w:val="0"/>
          <w:divBdr>
            <w:top w:val="none" w:sz="0" w:space="0" w:color="auto"/>
            <w:left w:val="none" w:sz="0" w:space="0" w:color="auto"/>
            <w:bottom w:val="none" w:sz="0" w:space="0" w:color="auto"/>
            <w:right w:val="none" w:sz="0" w:space="0" w:color="auto"/>
          </w:divBdr>
        </w:div>
        <w:div w:id="1859660406">
          <w:marLeft w:val="0"/>
          <w:marRight w:val="0"/>
          <w:marTop w:val="0"/>
          <w:marBottom w:val="0"/>
          <w:divBdr>
            <w:top w:val="none" w:sz="0" w:space="0" w:color="auto"/>
            <w:left w:val="none" w:sz="0" w:space="0" w:color="auto"/>
            <w:bottom w:val="none" w:sz="0" w:space="0" w:color="auto"/>
            <w:right w:val="none" w:sz="0" w:space="0" w:color="auto"/>
          </w:divBdr>
        </w:div>
        <w:div w:id="1853372747">
          <w:marLeft w:val="0"/>
          <w:marRight w:val="0"/>
          <w:marTop w:val="0"/>
          <w:marBottom w:val="0"/>
          <w:divBdr>
            <w:top w:val="none" w:sz="0" w:space="0" w:color="auto"/>
            <w:left w:val="none" w:sz="0" w:space="0" w:color="auto"/>
            <w:bottom w:val="none" w:sz="0" w:space="0" w:color="auto"/>
            <w:right w:val="none" w:sz="0" w:space="0" w:color="auto"/>
          </w:divBdr>
        </w:div>
        <w:div w:id="47071406">
          <w:marLeft w:val="0"/>
          <w:marRight w:val="0"/>
          <w:marTop w:val="0"/>
          <w:marBottom w:val="0"/>
          <w:divBdr>
            <w:top w:val="none" w:sz="0" w:space="0" w:color="auto"/>
            <w:left w:val="none" w:sz="0" w:space="0" w:color="auto"/>
            <w:bottom w:val="none" w:sz="0" w:space="0" w:color="auto"/>
            <w:right w:val="none" w:sz="0" w:space="0" w:color="auto"/>
          </w:divBdr>
        </w:div>
        <w:div w:id="693965757">
          <w:marLeft w:val="0"/>
          <w:marRight w:val="0"/>
          <w:marTop w:val="0"/>
          <w:marBottom w:val="0"/>
          <w:divBdr>
            <w:top w:val="none" w:sz="0" w:space="0" w:color="auto"/>
            <w:left w:val="none" w:sz="0" w:space="0" w:color="auto"/>
            <w:bottom w:val="none" w:sz="0" w:space="0" w:color="auto"/>
            <w:right w:val="none" w:sz="0" w:space="0" w:color="auto"/>
          </w:divBdr>
        </w:div>
        <w:div w:id="1072847827">
          <w:marLeft w:val="0"/>
          <w:marRight w:val="0"/>
          <w:marTop w:val="0"/>
          <w:marBottom w:val="0"/>
          <w:divBdr>
            <w:top w:val="none" w:sz="0" w:space="0" w:color="auto"/>
            <w:left w:val="none" w:sz="0" w:space="0" w:color="auto"/>
            <w:bottom w:val="none" w:sz="0" w:space="0" w:color="auto"/>
            <w:right w:val="none" w:sz="0" w:space="0" w:color="auto"/>
          </w:divBdr>
        </w:div>
        <w:div w:id="607591463">
          <w:marLeft w:val="0"/>
          <w:marRight w:val="0"/>
          <w:marTop w:val="0"/>
          <w:marBottom w:val="0"/>
          <w:divBdr>
            <w:top w:val="none" w:sz="0" w:space="0" w:color="auto"/>
            <w:left w:val="none" w:sz="0" w:space="0" w:color="auto"/>
            <w:bottom w:val="none" w:sz="0" w:space="0" w:color="auto"/>
            <w:right w:val="none" w:sz="0" w:space="0" w:color="auto"/>
          </w:divBdr>
        </w:div>
        <w:div w:id="542327662">
          <w:marLeft w:val="0"/>
          <w:marRight w:val="0"/>
          <w:marTop w:val="0"/>
          <w:marBottom w:val="0"/>
          <w:divBdr>
            <w:top w:val="none" w:sz="0" w:space="0" w:color="auto"/>
            <w:left w:val="none" w:sz="0" w:space="0" w:color="auto"/>
            <w:bottom w:val="none" w:sz="0" w:space="0" w:color="auto"/>
            <w:right w:val="none" w:sz="0" w:space="0" w:color="auto"/>
          </w:divBdr>
        </w:div>
        <w:div w:id="276720010">
          <w:marLeft w:val="0"/>
          <w:marRight w:val="0"/>
          <w:marTop w:val="0"/>
          <w:marBottom w:val="0"/>
          <w:divBdr>
            <w:top w:val="none" w:sz="0" w:space="0" w:color="auto"/>
            <w:left w:val="none" w:sz="0" w:space="0" w:color="auto"/>
            <w:bottom w:val="none" w:sz="0" w:space="0" w:color="auto"/>
            <w:right w:val="none" w:sz="0" w:space="0" w:color="auto"/>
          </w:divBdr>
        </w:div>
        <w:div w:id="145587827">
          <w:marLeft w:val="0"/>
          <w:marRight w:val="0"/>
          <w:marTop w:val="0"/>
          <w:marBottom w:val="0"/>
          <w:divBdr>
            <w:top w:val="none" w:sz="0" w:space="0" w:color="auto"/>
            <w:left w:val="none" w:sz="0" w:space="0" w:color="auto"/>
            <w:bottom w:val="none" w:sz="0" w:space="0" w:color="auto"/>
            <w:right w:val="none" w:sz="0" w:space="0" w:color="auto"/>
          </w:divBdr>
        </w:div>
        <w:div w:id="1835561727">
          <w:marLeft w:val="0"/>
          <w:marRight w:val="0"/>
          <w:marTop w:val="0"/>
          <w:marBottom w:val="0"/>
          <w:divBdr>
            <w:top w:val="none" w:sz="0" w:space="0" w:color="auto"/>
            <w:left w:val="none" w:sz="0" w:space="0" w:color="auto"/>
            <w:bottom w:val="none" w:sz="0" w:space="0" w:color="auto"/>
            <w:right w:val="none" w:sz="0" w:space="0" w:color="auto"/>
          </w:divBdr>
        </w:div>
        <w:div w:id="1035082566">
          <w:marLeft w:val="0"/>
          <w:marRight w:val="0"/>
          <w:marTop w:val="0"/>
          <w:marBottom w:val="0"/>
          <w:divBdr>
            <w:top w:val="none" w:sz="0" w:space="0" w:color="auto"/>
            <w:left w:val="none" w:sz="0" w:space="0" w:color="auto"/>
            <w:bottom w:val="none" w:sz="0" w:space="0" w:color="auto"/>
            <w:right w:val="none" w:sz="0" w:space="0" w:color="auto"/>
          </w:divBdr>
        </w:div>
        <w:div w:id="1398161503">
          <w:marLeft w:val="0"/>
          <w:marRight w:val="0"/>
          <w:marTop w:val="0"/>
          <w:marBottom w:val="0"/>
          <w:divBdr>
            <w:top w:val="none" w:sz="0" w:space="0" w:color="auto"/>
            <w:left w:val="none" w:sz="0" w:space="0" w:color="auto"/>
            <w:bottom w:val="none" w:sz="0" w:space="0" w:color="auto"/>
            <w:right w:val="none" w:sz="0" w:space="0" w:color="auto"/>
          </w:divBdr>
        </w:div>
        <w:div w:id="1997755732">
          <w:marLeft w:val="0"/>
          <w:marRight w:val="0"/>
          <w:marTop w:val="0"/>
          <w:marBottom w:val="0"/>
          <w:divBdr>
            <w:top w:val="none" w:sz="0" w:space="0" w:color="auto"/>
            <w:left w:val="none" w:sz="0" w:space="0" w:color="auto"/>
            <w:bottom w:val="none" w:sz="0" w:space="0" w:color="auto"/>
            <w:right w:val="none" w:sz="0" w:space="0" w:color="auto"/>
          </w:divBdr>
        </w:div>
        <w:div w:id="1637569855">
          <w:marLeft w:val="0"/>
          <w:marRight w:val="0"/>
          <w:marTop w:val="0"/>
          <w:marBottom w:val="0"/>
          <w:divBdr>
            <w:top w:val="none" w:sz="0" w:space="0" w:color="auto"/>
            <w:left w:val="none" w:sz="0" w:space="0" w:color="auto"/>
            <w:bottom w:val="none" w:sz="0" w:space="0" w:color="auto"/>
            <w:right w:val="none" w:sz="0" w:space="0" w:color="auto"/>
          </w:divBdr>
        </w:div>
        <w:div w:id="61223898">
          <w:marLeft w:val="0"/>
          <w:marRight w:val="0"/>
          <w:marTop w:val="0"/>
          <w:marBottom w:val="0"/>
          <w:divBdr>
            <w:top w:val="none" w:sz="0" w:space="0" w:color="auto"/>
            <w:left w:val="none" w:sz="0" w:space="0" w:color="auto"/>
            <w:bottom w:val="none" w:sz="0" w:space="0" w:color="auto"/>
            <w:right w:val="none" w:sz="0" w:space="0" w:color="auto"/>
          </w:divBdr>
        </w:div>
        <w:div w:id="791872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building-safety-bill-factsheets/building-control-regime-for-higher-risk-buildings-gateways-2-and-3-factsheet" TargetMode="External"/><Relationship Id="rId18" Type="http://schemas.openxmlformats.org/officeDocument/2006/relationships/hyperlink" Target="https://www.gov.uk/government/consultations/the-building-safety-levy/consultation-on-the-building-safety-levy" TargetMode="External"/><Relationship Id="rId26" Type="http://schemas.openxmlformats.org/officeDocument/2006/relationships/hyperlink" Target="https://www.nhos.org.uk/resource-centre/blogs/an-introduction-to-the-new-homes-ombudsman/" TargetMode="External"/><Relationship Id="rId3" Type="http://schemas.openxmlformats.org/officeDocument/2006/relationships/customXml" Target="../customXml/item3.xml"/><Relationship Id="rId21" Type="http://schemas.openxmlformats.org/officeDocument/2006/relationships/hyperlink" Target="https://www.gov.uk/guidance/leaseholder-protections-deed-of-certificate-frequently-asked-questions" TargetMode="External"/><Relationship Id="rId7" Type="http://schemas.openxmlformats.org/officeDocument/2006/relationships/webSettings" Target="webSettings.xml"/><Relationship Id="rId12" Type="http://schemas.openxmlformats.org/officeDocument/2006/relationships/hyperlink" Target="https://www.hse.gov.uk/building-safety/golden-thread.htm" TargetMode="External"/><Relationship Id="rId17" Type="http://schemas.openxmlformats.org/officeDocument/2006/relationships/hyperlink" Target="https://www.gov.uk/government/news/new-levy-to-make-sure-developers-pay-fair-share-for-affordable-housing-and-local-infrastructure" TargetMode="External"/><Relationship Id="rId25" Type="http://schemas.openxmlformats.org/officeDocument/2006/relationships/hyperlink" Target="https://www.gov.uk/government/publications/building-safety-bill-factsheets/construction-products-regulatory-framework-factsheet" TargetMode="External"/><Relationship Id="rId2" Type="http://schemas.openxmlformats.org/officeDocument/2006/relationships/customXml" Target="../customXml/item2.xml"/><Relationship Id="rId16" Type="http://schemas.openxmlformats.org/officeDocument/2006/relationships/hyperlink" Target="https://www.gov.uk/guidance/safety-in-high-rise-residential-buildings-accountable-persons" TargetMode="External"/><Relationship Id="rId20" Type="http://schemas.openxmlformats.org/officeDocument/2006/relationships/hyperlink" Target="https://www.gov.uk/guidance/building-safety-leaseholder-protections-guidance-for-leaseholde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criteria-for-being-a-higher-risk-building-during-the-occupation-phase-of-the-new-higher-risk-regime" TargetMode="External"/><Relationship Id="rId24" Type="http://schemas.openxmlformats.org/officeDocument/2006/relationships/hyperlink" Target="https://www.gov.uk/government/publications/check-your-fire-safety-responsibilities-under-section-156-of-the-building-safety-act-2022/fire-safety-responsibilities-under-section-156-of-the-building-safety-act-2022" TargetMode="External"/><Relationship Id="rId5" Type="http://schemas.openxmlformats.org/officeDocument/2006/relationships/styles" Target="styles.xml"/><Relationship Id="rId15" Type="http://schemas.openxmlformats.org/officeDocument/2006/relationships/hyperlink" Target="https://www.architecture.com/knowledge-and-resources/knowledge-landing-page/building-safety-act-for-architects-and-domestic-projects" TargetMode="External"/><Relationship Id="rId23" Type="http://schemas.openxmlformats.org/officeDocument/2006/relationships/hyperlink" Target="https://www.gov.uk/guidance/waking-watch-replacement-fund-2023" TargetMode="External"/><Relationship Id="rId28" Type="http://schemas.openxmlformats.org/officeDocument/2006/relationships/hyperlink" Target="https://www.housing-ombudsman.org.uk/2022/08/10/improved-access-to-ombudsman-from-october/" TargetMode="External"/><Relationship Id="rId10" Type="http://schemas.openxmlformats.org/officeDocument/2006/relationships/hyperlink" Target="https://www.hse.gov.uk/building-safety/regulator.htm" TargetMode="External"/><Relationship Id="rId19" Type="http://schemas.openxmlformats.org/officeDocument/2006/relationships/hyperlink" Target="https://www.gov.uk/government/publications/health-and-safety-executive-factsheets/building-safety-regulator-approach-to-enforcement-factshee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eveloper-remediation-contract" TargetMode="External"/><Relationship Id="rId22" Type="http://schemas.openxmlformats.org/officeDocument/2006/relationships/hyperlink" Target="https://www.gov.uk/guidance/mandatory-information-required-from-leaseholders-and-building-owners" TargetMode="External"/><Relationship Id="rId27" Type="http://schemas.openxmlformats.org/officeDocument/2006/relationships/hyperlink" Target="https://www.gov.uk/government/publications/building-safety-bill-factsheets/new-build-warranties-factshee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59D4ADB224E43B77737AA2F731B2A" ma:contentTypeVersion="3" ma:contentTypeDescription="Create a new document." ma:contentTypeScope="" ma:versionID="98ef03c11283734a0333c9727e654ef8">
  <xsd:schema xmlns:xsd="http://www.w3.org/2001/XMLSchema" xmlns:xs="http://www.w3.org/2001/XMLSchema" xmlns:p="http://schemas.microsoft.com/office/2006/metadata/properties" xmlns:ns3="64d0f963-8a7e-452f-98eb-41d25d83b985" targetNamespace="http://schemas.microsoft.com/office/2006/metadata/properties" ma:root="true" ma:fieldsID="02f34bf9b2ccebf67c4abef3624f8f4a" ns3:_="">
    <xsd:import namespace="64d0f963-8a7e-452f-98eb-41d25d83b9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f963-8a7e-452f-98eb-41d25d83b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D8327-D817-4A31-AAC1-5F6B0E1B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f963-8a7e-452f-98eb-41d25d83b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64357-30E4-4FA6-AA53-FAFF77E2474A}">
  <ds:schemaRefs>
    <ds:schemaRef ds:uri="http://schemas.microsoft.com/sharepoint/v3/contenttype/forms"/>
  </ds:schemaRefs>
</ds:datastoreItem>
</file>

<file path=customXml/itemProps3.xml><?xml version="1.0" encoding="utf-8"?>
<ds:datastoreItem xmlns:ds="http://schemas.openxmlformats.org/officeDocument/2006/customXml" ds:itemID="{51593240-A139-482C-BC85-8B8AB8CFE6A8}">
  <ds:schemaRefs>
    <ds:schemaRef ds:uri="http://purl.org/dc/elements/1.1/"/>
    <ds:schemaRef ds:uri="http://purl.org/dc/dcmitype/"/>
    <ds:schemaRef ds:uri="64d0f963-8a7e-452f-98eb-41d25d83b985"/>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Allen</dc:creator>
  <cp:keywords/>
  <dc:description/>
  <cp:lastModifiedBy>Cosette Wootton</cp:lastModifiedBy>
  <cp:revision>2</cp:revision>
  <dcterms:created xsi:type="dcterms:W3CDTF">2023-10-19T14:10:00Z</dcterms:created>
  <dcterms:modified xsi:type="dcterms:W3CDTF">2023-10-19T14:10:00Z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0x010100FCA59D4ADB224E43B77737AA2F731B2A</vt:lpwstr>
  </property>
</Properties>
</file>